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3.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xml" ContentType="application/vnd.openxmlformats-officedocument.themeOverride+xml"/>
  <Override PartName="/word/charts/chart17.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8.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9.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0.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1.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2.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3.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B3" w:rsidRDefault="009A0EB3" w:rsidP="009A0EB3">
      <w:pPr>
        <w:spacing w:line="20" w:lineRule="atLeast"/>
        <w:jc w:val="center"/>
        <w:outlineLvl w:val="0"/>
        <w:rPr>
          <w:rFonts w:ascii="Garamond" w:hAnsi="Garamond"/>
          <w:b/>
          <w:color w:val="000080"/>
          <w:sz w:val="144"/>
          <w:szCs w:val="144"/>
        </w:rPr>
      </w:pPr>
      <w:bookmarkStart w:id="0" w:name="_GoBack"/>
      <w:bookmarkEnd w:id="0"/>
    </w:p>
    <w:p w:rsidR="009A0EB3" w:rsidRPr="002726A8" w:rsidRDefault="009A0EB3" w:rsidP="009A0EB3">
      <w:pPr>
        <w:spacing w:line="20" w:lineRule="atLeast"/>
        <w:jc w:val="center"/>
        <w:outlineLvl w:val="0"/>
        <w:rPr>
          <w:rFonts w:ascii="Garamond" w:hAnsi="Garamond"/>
          <w:b/>
          <w:color w:val="000080"/>
          <w:sz w:val="144"/>
          <w:szCs w:val="144"/>
        </w:rPr>
      </w:pPr>
      <w:r w:rsidRPr="002726A8">
        <w:rPr>
          <w:rFonts w:ascii="Garamond" w:hAnsi="Garamond"/>
          <w:b/>
          <w:color w:val="000080"/>
          <w:sz w:val="144"/>
          <w:szCs w:val="144"/>
        </w:rPr>
        <w:t>SEBI</w:t>
      </w:r>
    </w:p>
    <w:p w:rsidR="009A0EB3" w:rsidRPr="002726A8" w:rsidRDefault="009A0EB3" w:rsidP="009A0EB3">
      <w:pPr>
        <w:spacing w:line="20" w:lineRule="atLeast"/>
        <w:jc w:val="center"/>
        <w:outlineLvl w:val="0"/>
        <w:rPr>
          <w:rFonts w:ascii="Garamond" w:hAnsi="Garamond"/>
          <w:b/>
          <w:color w:val="000080"/>
          <w:sz w:val="56"/>
          <w:szCs w:val="56"/>
        </w:rPr>
      </w:pPr>
      <w:r w:rsidRPr="002726A8">
        <w:rPr>
          <w:rFonts w:ascii="Garamond" w:hAnsi="Garamond"/>
          <w:b/>
          <w:color w:val="000080"/>
          <w:sz w:val="56"/>
          <w:szCs w:val="56"/>
        </w:rPr>
        <w:t>BULLETIN</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F573F8" w:rsidP="002C3645">
      <w:pPr>
        <w:spacing w:line="20" w:lineRule="atLeast"/>
        <w:jc w:val="center"/>
        <w:rPr>
          <w:rFonts w:ascii="Palatino Linotype" w:hAnsi="Palatino Linotype"/>
          <w:b/>
          <w:color w:val="FF0000"/>
          <w:sz w:val="22"/>
          <w:szCs w:val="22"/>
        </w:rPr>
      </w:pPr>
      <w:r>
        <w:rPr>
          <w:rFonts w:ascii="Palatino Linotype" w:hAnsi="Palatino Linotype"/>
          <w:b/>
          <w:color w:val="000080"/>
          <w:sz w:val="22"/>
          <w:szCs w:val="22"/>
        </w:rPr>
        <w:t>October</w:t>
      </w:r>
      <w:r w:rsidR="00B20597">
        <w:rPr>
          <w:rFonts w:ascii="Palatino Linotype" w:hAnsi="Palatino Linotype"/>
          <w:b/>
          <w:color w:val="000080"/>
          <w:sz w:val="22"/>
          <w:szCs w:val="22"/>
        </w:rPr>
        <w:t xml:space="preserve"> </w:t>
      </w:r>
      <w:r w:rsidR="00B20597" w:rsidRPr="009A0EB3">
        <w:rPr>
          <w:rFonts w:ascii="Palatino Linotype" w:hAnsi="Palatino Linotype"/>
          <w:b/>
          <w:color w:val="000080"/>
          <w:sz w:val="22"/>
          <w:szCs w:val="22"/>
        </w:rPr>
        <w:t>2019</w:t>
      </w:r>
      <w:r w:rsidR="002C3645" w:rsidRPr="009A0EB3">
        <w:rPr>
          <w:rFonts w:ascii="Palatino Linotype" w:hAnsi="Palatino Linotype"/>
          <w:b/>
          <w:color w:val="000080"/>
          <w:sz w:val="22"/>
          <w:szCs w:val="22"/>
        </w:rPr>
        <w:t xml:space="preserve">   VOL. 17</w:t>
      </w:r>
      <w:r w:rsidR="002C3645" w:rsidRPr="009A0EB3">
        <w:rPr>
          <w:rFonts w:ascii="Palatino Linotype" w:hAnsi="Palatino Linotype"/>
          <w:b/>
          <w:color w:val="000080"/>
          <w:sz w:val="22"/>
          <w:szCs w:val="22"/>
        </w:rPr>
        <w:tab/>
        <w:t xml:space="preserve">  </w:t>
      </w:r>
      <w:r w:rsidR="00B20597">
        <w:rPr>
          <w:rFonts w:ascii="Palatino Linotype" w:hAnsi="Palatino Linotype"/>
          <w:b/>
          <w:color w:val="FF0000"/>
          <w:sz w:val="22"/>
          <w:szCs w:val="22"/>
        </w:rPr>
        <w:t xml:space="preserve">NUMBER </w:t>
      </w:r>
      <w:r>
        <w:rPr>
          <w:rFonts w:ascii="Palatino Linotype" w:hAnsi="Palatino Linotype"/>
          <w:b/>
          <w:color w:val="FF0000"/>
          <w:sz w:val="22"/>
          <w:szCs w:val="22"/>
        </w:rPr>
        <w:t>10</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(LOGO)</w:t>
      </w:r>
    </w:p>
    <w:p w:rsidR="0018049A" w:rsidRPr="009A0EB3" w:rsidRDefault="0018049A"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2E18B1" w:rsidRDefault="002E18B1" w:rsidP="00B25DA6">
      <w:pPr>
        <w:jc w:val="center"/>
        <w:outlineLvl w:val="0"/>
        <w:rPr>
          <w:rFonts w:ascii="Palatino Linotype" w:hAnsi="Palatino Linotype" w:cs="Helvetica"/>
          <w:b/>
          <w:color w:val="000099"/>
          <w:sz w:val="22"/>
          <w:szCs w:val="22"/>
        </w:rPr>
      </w:pPr>
    </w:p>
    <w:p w:rsidR="002E18B1" w:rsidRDefault="002E18B1" w:rsidP="00B25DA6">
      <w:pPr>
        <w:jc w:val="center"/>
        <w:outlineLvl w:val="0"/>
        <w:rPr>
          <w:rFonts w:ascii="Palatino Linotype" w:hAnsi="Palatino Linotype" w:cs="Helvetica"/>
          <w:b/>
          <w:color w:val="000099"/>
          <w:sz w:val="22"/>
          <w:szCs w:val="22"/>
        </w:rPr>
      </w:pPr>
    </w:p>
    <w:p w:rsidR="002E18B1" w:rsidRPr="009A0EB3" w:rsidRDefault="002E18B1"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SECURITIES AND EXCHANGE BOARD OF INDIA</w:t>
      </w:r>
    </w:p>
    <w:p w:rsidR="002C3645" w:rsidRPr="009A0EB3" w:rsidRDefault="002C3645" w:rsidP="002C3645">
      <w:pPr>
        <w:spacing w:line="20" w:lineRule="atLeast"/>
        <w:jc w:val="both"/>
        <w:rPr>
          <w:rFonts w:ascii="Palatino Linotype" w:hAnsi="Palatino Linotype"/>
          <w:color w:val="FF0000"/>
          <w:sz w:val="22"/>
          <w:szCs w:val="22"/>
        </w:rPr>
      </w:pPr>
    </w:p>
    <w:p w:rsidR="009A0EB3" w:rsidRPr="009A0EB3" w:rsidRDefault="009A0EB3" w:rsidP="002C3645">
      <w:pPr>
        <w:spacing w:line="20" w:lineRule="atLeast"/>
        <w:rPr>
          <w:rFonts w:ascii="Palatino Linotype" w:hAnsi="Palatino Linotype"/>
          <w:b/>
          <w:sz w:val="22"/>
          <w:szCs w:val="22"/>
        </w:rPr>
      </w:pPr>
    </w:p>
    <w:p w:rsidR="002C3645" w:rsidRPr="009A0EB3" w:rsidRDefault="002C3645" w:rsidP="002C3645">
      <w:pPr>
        <w:spacing w:line="20" w:lineRule="atLeast"/>
        <w:rPr>
          <w:rFonts w:ascii="Palatino Linotype" w:hAnsi="Palatino Linotype"/>
          <w:b/>
          <w:sz w:val="22"/>
          <w:szCs w:val="22"/>
        </w:rPr>
      </w:pPr>
      <w:r w:rsidRPr="009A0EB3">
        <w:rPr>
          <w:rFonts w:ascii="Palatino Linotype" w:hAnsi="Palatino Linotype"/>
          <w:b/>
          <w:sz w:val="22"/>
          <w:szCs w:val="22"/>
        </w:rPr>
        <w:t xml:space="preserve">EDITORIAL COMMITTEE </w:t>
      </w:r>
      <w:r w:rsidR="009A0EB3" w:rsidRPr="009A0EB3">
        <w:rPr>
          <w:rFonts w:ascii="Palatino Linotype" w:hAnsi="Palatino Linotype"/>
          <w:b/>
          <w:sz w:val="22"/>
          <w:szCs w:val="22"/>
        </w:rPr>
        <w:br/>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P K Nagpal</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Dr. Prabhakar R. Patil</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Shashikumar Valsakumar</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Prabhas Rath</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Sahil Malik</w:t>
      </w:r>
    </w:p>
    <w:p w:rsidR="002C3645" w:rsidRPr="009A0EB3" w:rsidRDefault="002C3645" w:rsidP="002C3645">
      <w:pPr>
        <w:spacing w:line="20" w:lineRule="atLeast"/>
        <w:jc w:val="both"/>
        <w:outlineLvl w:val="0"/>
        <w:rPr>
          <w:rFonts w:ascii="Palatino Linotype" w:hAnsi="Palatino Linotype"/>
          <w:b/>
          <w:sz w:val="22"/>
          <w:szCs w:val="22"/>
        </w:rPr>
      </w:pPr>
    </w:p>
    <w:p w:rsidR="002C3645" w:rsidRPr="009A0EB3" w:rsidRDefault="002C3645" w:rsidP="002C3645">
      <w:pPr>
        <w:spacing w:line="20" w:lineRule="atLeast"/>
        <w:jc w:val="both"/>
        <w:rPr>
          <w:rFonts w:ascii="Palatino Linotype" w:hAnsi="Palatino Linotype"/>
          <w:sz w:val="22"/>
          <w:szCs w:val="22"/>
        </w:rPr>
      </w:pPr>
    </w:p>
    <w:p w:rsidR="002C3645" w:rsidRPr="009A0EB3" w:rsidRDefault="002C3645" w:rsidP="002C3645">
      <w:pPr>
        <w:spacing w:line="20" w:lineRule="atLeast"/>
        <w:jc w:val="both"/>
        <w:rPr>
          <w:rFonts w:ascii="Palatino Linotype" w:hAnsi="Palatino Linotype"/>
          <w:sz w:val="22"/>
          <w:szCs w:val="22"/>
        </w:rPr>
      </w:pPr>
      <w:r w:rsidRPr="009A0EB3">
        <w:rPr>
          <w:rFonts w:ascii="Palatino Linotype" w:hAnsi="Palatino Linotype"/>
          <w:sz w:val="22"/>
          <w:szCs w:val="22"/>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10" w:history="1">
        <w:r w:rsidRPr="009A0EB3">
          <w:rPr>
            <w:rFonts w:ascii="Palatino Linotype" w:hAnsi="Palatino Linotype"/>
            <w:sz w:val="22"/>
            <w:szCs w:val="22"/>
          </w:rPr>
          <w:t>bulletin@sebi.gov.in</w:t>
        </w:r>
      </w:hyperlink>
      <w:r w:rsidRPr="009A0EB3">
        <w:rPr>
          <w:rFonts w:ascii="Palatino Linotype" w:hAnsi="Palatino Linotype"/>
          <w:sz w:val="22"/>
          <w:szCs w:val="22"/>
        </w:rPr>
        <w:t xml:space="preserve"> along with their complete address. </w:t>
      </w:r>
      <w:r w:rsidRPr="009A0EB3">
        <w:rPr>
          <w:rFonts w:ascii="Palatino Linotype" w:hAnsi="Palatino Linotype"/>
          <w:bCs/>
          <w:sz w:val="22"/>
          <w:szCs w:val="22"/>
        </w:rPr>
        <w:t xml:space="preserve">A readable version of SEBI Bulletin is available at </w:t>
      </w:r>
      <w:hyperlink r:id="rId11" w:history="1">
        <w:r w:rsidRPr="009A0EB3">
          <w:rPr>
            <w:rFonts w:ascii="Palatino Linotype" w:hAnsi="Palatino Linotype"/>
            <w:bCs/>
            <w:sz w:val="22"/>
            <w:szCs w:val="22"/>
          </w:rPr>
          <w:t>http://www.sebi.gov.in</w:t>
        </w:r>
      </w:hyperlink>
      <w:r w:rsidRPr="009A0EB3">
        <w:rPr>
          <w:rFonts w:ascii="Palatino Linotype" w:hAnsi="Palatino Linotype"/>
          <w:bCs/>
          <w:sz w:val="22"/>
          <w:szCs w:val="22"/>
        </w:rPr>
        <w:t xml:space="preserve">. Any comments and suggestions on any of the features/sections may be sent to </w:t>
      </w:r>
      <w:hyperlink r:id="rId12" w:history="1">
        <w:r w:rsidRPr="009A0EB3">
          <w:rPr>
            <w:rFonts w:ascii="Palatino Linotype" w:hAnsi="Palatino Linotype"/>
            <w:bCs/>
            <w:sz w:val="22"/>
            <w:szCs w:val="22"/>
          </w:rPr>
          <w:t>bulletin@sebi.gov.in</w:t>
        </w:r>
      </w:hyperlink>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Pr="009A0EB3" w:rsidRDefault="000254CD"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EB52C5" w:rsidRDefault="00EB52C5" w:rsidP="00B25DA6">
      <w:pPr>
        <w:jc w:val="center"/>
        <w:outlineLvl w:val="0"/>
        <w:rPr>
          <w:rFonts w:ascii="Palatino Linotype" w:hAnsi="Palatino Linotype" w:cs="Helvetica"/>
          <w:b/>
          <w:color w:val="000099"/>
          <w:sz w:val="22"/>
          <w:szCs w:val="22"/>
        </w:rPr>
      </w:pPr>
    </w:p>
    <w:p w:rsidR="00EB52C5" w:rsidRPr="009A0EB3" w:rsidRDefault="00EB52C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98446E" w:rsidRPr="009A0EB3" w:rsidRDefault="0098446E"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632423"/>
          <w:sz w:val="22"/>
          <w:szCs w:val="22"/>
        </w:rPr>
      </w:pPr>
      <w:r w:rsidRPr="009A0EB3">
        <w:rPr>
          <w:rFonts w:ascii="Palatino Linotype" w:hAnsi="Palatino Linotype"/>
          <w:b/>
          <w:color w:val="632423"/>
          <w:sz w:val="22"/>
          <w:szCs w:val="22"/>
        </w:rPr>
        <w:lastRenderedPageBreak/>
        <w:t>CONTENTS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p>
    <w:p w:rsidR="000254CD" w:rsidRPr="000254CD" w:rsidRDefault="00F573F8" w:rsidP="00F56183">
      <w:pPr>
        <w:spacing w:line="20" w:lineRule="atLeast"/>
        <w:jc w:val="both"/>
        <w:rPr>
          <w:rFonts w:ascii="Palatino Linotype" w:hAnsi="Palatino Linotype"/>
          <w:b/>
          <w:color w:val="0000FF"/>
          <w:sz w:val="22"/>
          <w:szCs w:val="22"/>
        </w:rPr>
      </w:pPr>
      <w:r w:rsidRPr="00F573F8">
        <w:rPr>
          <w:rFonts w:ascii="Palatino Linotype" w:hAnsi="Palatino Linotype"/>
          <w:b/>
          <w:color w:val="0000FF"/>
          <w:sz w:val="22"/>
          <w:szCs w:val="22"/>
        </w:rPr>
        <w:t>USD 5 TRILLION ECONOMY – ROLE OF CAPITAL MARKETS</w:t>
      </w:r>
      <w:r w:rsidR="00F56183">
        <w:rPr>
          <w:rFonts w:ascii="Palatino Linotype" w:hAnsi="Palatino Linotype"/>
          <w:b/>
          <w:color w:val="0000FF"/>
          <w:sz w:val="22"/>
          <w:szCs w:val="22"/>
        </w:rPr>
        <w:t>, SHRI</w:t>
      </w:r>
      <w:r w:rsidR="00F56183" w:rsidRPr="00F56183">
        <w:rPr>
          <w:rFonts w:ascii="Palatino Linotype" w:hAnsi="Palatino Linotype"/>
          <w:b/>
          <w:color w:val="0000FF"/>
          <w:sz w:val="22"/>
          <w:szCs w:val="22"/>
        </w:rPr>
        <w:t xml:space="preserve"> AJAY TYAGI, CHAIRMAN, SEBI  </w:t>
      </w:r>
    </w:p>
    <w:p w:rsidR="00F56183" w:rsidRDefault="00F56183" w:rsidP="000254CD">
      <w:pPr>
        <w:spacing w:line="20" w:lineRule="atLeast"/>
        <w:jc w:val="both"/>
        <w:rPr>
          <w:rFonts w:ascii="Palatino Linotype" w:hAnsi="Palatino Linotype"/>
          <w:b/>
          <w:color w:val="0000FF"/>
          <w:sz w:val="22"/>
          <w:szCs w:val="22"/>
        </w:rPr>
      </w:pPr>
    </w:p>
    <w:p w:rsidR="000254CD" w:rsidRDefault="002E18B1" w:rsidP="00F56183">
      <w:pPr>
        <w:shd w:val="clear" w:color="auto" w:fill="FFFFFF"/>
        <w:rPr>
          <w:rFonts w:ascii="Times New Roman" w:eastAsia="Times New Roman" w:hAnsi="Times New Roman"/>
          <w:sz w:val="22"/>
          <w:szCs w:val="22"/>
          <w:lang w:val="en-US"/>
        </w:rPr>
      </w:pPr>
      <w:r w:rsidRPr="002E18B1">
        <w:rPr>
          <w:rFonts w:ascii="Palatino Linotype" w:hAnsi="Palatino Linotype"/>
          <w:b/>
          <w:color w:val="0000FF"/>
          <w:sz w:val="22"/>
          <w:szCs w:val="22"/>
        </w:rPr>
        <w:t>CORPORATE BOND MARKET</w:t>
      </w:r>
      <w:r>
        <w:rPr>
          <w:rFonts w:ascii="Palatino Linotype" w:hAnsi="Palatino Linotype"/>
          <w:b/>
          <w:color w:val="0000FF"/>
          <w:sz w:val="22"/>
          <w:szCs w:val="22"/>
        </w:rPr>
        <w:t xml:space="preserve">, SHRI </w:t>
      </w:r>
      <w:r w:rsidRPr="00F56183">
        <w:rPr>
          <w:rFonts w:ascii="Palatino Linotype" w:hAnsi="Palatino Linotype"/>
          <w:b/>
          <w:color w:val="0000FF"/>
          <w:sz w:val="22"/>
          <w:szCs w:val="22"/>
        </w:rPr>
        <w:t>AJAY TYAGI, CHAIRMAN, SEBI</w:t>
      </w:r>
    </w:p>
    <w:p w:rsidR="00954EC8" w:rsidRPr="00954EC8" w:rsidRDefault="00954EC8" w:rsidP="00954EC8">
      <w:pPr>
        <w:shd w:val="clear" w:color="auto" w:fill="FFFFFF"/>
        <w:rPr>
          <w:rFonts w:ascii="Times New Roman" w:eastAsia="Times New Roman" w:hAnsi="Times New Roman"/>
          <w:sz w:val="22"/>
          <w:szCs w:val="22"/>
          <w:lang w:val="en-US"/>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CAPITAL MARKET REVIEW</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REVIEW OF GLOBAL FINANCIAL MARKETS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HIGHLIGHTS OF DEVELOPMENTS IN INTERNATIONAL SECURITIES MARKET</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POLICY DEVELOPMENTS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REGULATORY ACTIONS TAKEN BY SEBI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TABLES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PUBLICATIONS</w:t>
      </w: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36332D" w:rsidRDefault="0036332D" w:rsidP="00B25DA6">
      <w:pPr>
        <w:jc w:val="center"/>
        <w:outlineLvl w:val="0"/>
        <w:rPr>
          <w:rFonts w:ascii="Palatino Linotype" w:hAnsi="Palatino Linotype" w:cs="Helvetica"/>
          <w:b/>
          <w:color w:val="000099"/>
          <w:sz w:val="22"/>
          <w:szCs w:val="22"/>
        </w:rPr>
      </w:pPr>
    </w:p>
    <w:p w:rsidR="0036332D" w:rsidRDefault="0036332D"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3C03E0">
      <w:pPr>
        <w:spacing w:line="276" w:lineRule="auto"/>
        <w:jc w:val="center"/>
        <w:outlineLvl w:val="0"/>
        <w:rPr>
          <w:rFonts w:ascii="Palatino Linotype" w:eastAsia="Times New Roman" w:hAnsi="Palatino Linotype"/>
          <w:b/>
          <w:sz w:val="22"/>
          <w:szCs w:val="22"/>
          <w:lang w:val="en-US"/>
        </w:rPr>
      </w:pPr>
      <w:r w:rsidRPr="00F573F8">
        <w:rPr>
          <w:rFonts w:ascii="Palatino Linotype" w:eastAsia="Times New Roman" w:hAnsi="Palatino Linotype"/>
          <w:b/>
          <w:sz w:val="22"/>
          <w:szCs w:val="22"/>
          <w:lang w:val="en-US"/>
        </w:rPr>
        <w:lastRenderedPageBreak/>
        <w:t>USD 5 Trillion economy – Role of capital markets</w:t>
      </w:r>
    </w:p>
    <w:p w:rsidR="00954EC8" w:rsidRDefault="00F56183" w:rsidP="003C03E0">
      <w:pPr>
        <w:spacing w:line="276" w:lineRule="auto"/>
        <w:jc w:val="center"/>
        <w:outlineLvl w:val="0"/>
        <w:rPr>
          <w:rFonts w:ascii="Palatino Linotype" w:eastAsia="Times New Roman" w:hAnsi="Palatino Linotype"/>
          <w:b/>
          <w:sz w:val="22"/>
          <w:szCs w:val="22"/>
          <w:lang w:val="en-US"/>
        </w:rPr>
      </w:pPr>
      <w:r>
        <w:rPr>
          <w:rFonts w:ascii="Palatino Linotype" w:eastAsia="Times New Roman" w:hAnsi="Palatino Linotype"/>
          <w:b/>
          <w:sz w:val="22"/>
          <w:szCs w:val="22"/>
          <w:lang w:val="en-US"/>
        </w:rPr>
        <w:t xml:space="preserve">Shri </w:t>
      </w:r>
      <w:r w:rsidR="003C03E0" w:rsidRPr="00A02D52">
        <w:rPr>
          <w:rFonts w:ascii="Palatino Linotype" w:eastAsia="Times New Roman" w:hAnsi="Palatino Linotype"/>
          <w:b/>
          <w:sz w:val="22"/>
          <w:szCs w:val="22"/>
          <w:lang w:val="en-US"/>
        </w:rPr>
        <w:t>Ajay Tyagi, Chairman, SEBI</w:t>
      </w:r>
      <w:r w:rsidR="003C03E0">
        <w:rPr>
          <w:rStyle w:val="FootnoteReference"/>
          <w:rFonts w:ascii="Palatino Linotype" w:eastAsia="Times New Roman" w:hAnsi="Palatino Linotype"/>
          <w:b/>
          <w:sz w:val="22"/>
          <w:szCs w:val="22"/>
          <w:lang w:val="en-US"/>
        </w:rPr>
        <w:footnoteReference w:id="1"/>
      </w:r>
      <w:r w:rsidR="003C03E0" w:rsidRPr="00A02D52">
        <w:rPr>
          <w:rFonts w:ascii="Palatino Linotype" w:eastAsia="Times New Roman" w:hAnsi="Palatino Linotype"/>
          <w:b/>
          <w:sz w:val="22"/>
          <w:szCs w:val="22"/>
          <w:lang w:val="en-US"/>
        </w:rPr>
        <w:t xml:space="preserve"> </w:t>
      </w:r>
    </w:p>
    <w:p w:rsidR="003C03E0" w:rsidRDefault="003C03E0" w:rsidP="003C03E0">
      <w:pPr>
        <w:jc w:val="center"/>
        <w:outlineLvl w:val="0"/>
        <w:rPr>
          <w:rFonts w:ascii="Palatino Linotype" w:hAnsi="Palatino Linotype" w:cs="Helvetica"/>
          <w:b/>
          <w:color w:val="000099"/>
          <w:sz w:val="22"/>
          <w:szCs w:val="22"/>
        </w:rPr>
      </w:pPr>
    </w:p>
    <w:p w:rsidR="00F573F8" w:rsidRPr="00A45306"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A45306">
        <w:rPr>
          <w:rFonts w:ascii="Palatino Linotype" w:eastAsia="Arial" w:hAnsi="Palatino Linotype" w:cs="Arial"/>
          <w:bCs/>
          <w:sz w:val="22"/>
          <w:szCs w:val="22"/>
        </w:rPr>
        <w:t>Ladies and Gentlemen, it gives me great pleasure to address this august gathering and share my views on the role of capital markets in achieving the larger goal that our country is striving for – a USD 5 trillion economy by the year 2025. I would like to thank FICCI for inviting me to this Conference.</w:t>
      </w:r>
    </w:p>
    <w:p w:rsidR="00F573F8" w:rsidRPr="00A45306"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A45306">
        <w:rPr>
          <w:rFonts w:ascii="Palatino Linotype" w:eastAsia="Arial" w:hAnsi="Palatino Linotype" w:cs="Arial"/>
          <w:bCs/>
          <w:sz w:val="22"/>
          <w:szCs w:val="22"/>
        </w:rPr>
        <w:t>In my address today, I would like to briefly recapitulate the role capital markets have been playing in the recent years in economic development as also the expected role towards contributing to the USD 5 trillion target.</w:t>
      </w:r>
    </w:p>
    <w:p w:rsidR="00F573F8" w:rsidRPr="00F573F8" w:rsidRDefault="00F573F8" w:rsidP="00A45306">
      <w:pPr>
        <w:widowControl w:val="0"/>
        <w:numPr>
          <w:ilvl w:val="0"/>
          <w:numId w:val="18"/>
        </w:numPr>
        <w:tabs>
          <w:tab w:val="left" w:pos="660"/>
        </w:tabs>
        <w:spacing w:line="276" w:lineRule="auto"/>
        <w:jc w:val="both"/>
        <w:rPr>
          <w:rFonts w:ascii="Palatino Linotype" w:eastAsia="Arial" w:hAnsi="Palatino Linotype" w:cs="Arial"/>
          <w:b/>
          <w:bCs/>
          <w:sz w:val="22"/>
          <w:szCs w:val="22"/>
        </w:rPr>
      </w:pPr>
      <w:r w:rsidRPr="00F573F8">
        <w:rPr>
          <w:rFonts w:ascii="Palatino Linotype" w:eastAsia="Arial" w:hAnsi="Palatino Linotype" w:cs="Arial"/>
          <w:b/>
          <w:bCs/>
          <w:sz w:val="22"/>
          <w:szCs w:val="22"/>
          <w:u w:val="single"/>
        </w:rPr>
        <w:t>Importance of capital markets in economic growth</w:t>
      </w:r>
    </w:p>
    <w:p w:rsidR="00F573F8" w:rsidRPr="00F573F8" w:rsidRDefault="00F573F8" w:rsidP="00A45306">
      <w:pPr>
        <w:widowControl w:val="0"/>
        <w:spacing w:line="276" w:lineRule="auto"/>
        <w:jc w:val="both"/>
        <w:rPr>
          <w:rFonts w:ascii="Palatino Linotype" w:eastAsia="Arial" w:hAnsi="Palatino Linotype" w:cs="Arial"/>
          <w:bCs/>
          <w:sz w:val="22"/>
          <w:szCs w:val="22"/>
        </w:rPr>
      </w:pP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As per the Economic Survey 2018-19, for a USD 5 Trillion economy by 2024-25, a sustained economic growth rate of real GDP of 8</w:t>
      </w:r>
      <w:r w:rsidR="005B5C45">
        <w:rPr>
          <w:rFonts w:ascii="Palatino Linotype" w:eastAsia="Arial" w:hAnsi="Palatino Linotype" w:cs="Arial"/>
          <w:bCs/>
          <w:sz w:val="22"/>
          <w:szCs w:val="22"/>
        </w:rPr>
        <w:t xml:space="preserve"> per cent</w:t>
      </w:r>
      <w:r w:rsidRPr="00F573F8">
        <w:rPr>
          <w:rFonts w:ascii="Palatino Linotype" w:eastAsia="Arial" w:hAnsi="Palatino Linotype" w:cs="Arial"/>
          <w:bCs/>
          <w:sz w:val="22"/>
          <w:szCs w:val="22"/>
        </w:rPr>
        <w:t xml:space="preserve"> is needed. This kind of sustained economic growth requires a virtuous cycle of savings and investment. A robust financial sector which can continuously supply capital resources and efficiently allocate the same to seekers of funds is crucial for creating the savings and investment cycle.</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In this context, the theme of the Conference focusing on increasing robustness of the capital markets is aptly chosen and timed and I hope that the discussions during the Conference would throw up many new ideas.</w:t>
      </w:r>
    </w:p>
    <w:p w:rsidR="00F573F8" w:rsidRPr="00F573F8" w:rsidRDefault="00F573F8" w:rsidP="00A45306">
      <w:pPr>
        <w:widowControl w:val="0"/>
        <w:spacing w:line="276" w:lineRule="auto"/>
        <w:jc w:val="both"/>
        <w:rPr>
          <w:rFonts w:ascii="Palatino Linotype" w:hAnsi="Palatino Linotype"/>
          <w:sz w:val="22"/>
          <w:szCs w:val="22"/>
        </w:rPr>
      </w:pPr>
    </w:p>
    <w:p w:rsidR="00F573F8" w:rsidRDefault="00F573F8" w:rsidP="00A45306">
      <w:pPr>
        <w:widowControl w:val="0"/>
        <w:numPr>
          <w:ilvl w:val="0"/>
          <w:numId w:val="18"/>
        </w:numPr>
        <w:tabs>
          <w:tab w:val="left" w:pos="671"/>
        </w:tabs>
        <w:spacing w:line="276" w:lineRule="auto"/>
        <w:jc w:val="both"/>
        <w:rPr>
          <w:rFonts w:ascii="Palatino Linotype" w:eastAsia="Arial" w:hAnsi="Palatino Linotype" w:cs="Arial"/>
          <w:b/>
          <w:bCs/>
          <w:sz w:val="22"/>
          <w:szCs w:val="22"/>
          <w:u w:val="single"/>
        </w:rPr>
      </w:pPr>
      <w:bookmarkStart w:id="1" w:name="page2"/>
      <w:bookmarkEnd w:id="1"/>
      <w:r w:rsidRPr="00F573F8">
        <w:rPr>
          <w:rFonts w:ascii="Palatino Linotype" w:eastAsia="Arial" w:hAnsi="Palatino Linotype" w:cs="Arial"/>
          <w:b/>
          <w:bCs/>
          <w:sz w:val="22"/>
          <w:szCs w:val="22"/>
          <w:u w:val="single"/>
        </w:rPr>
        <w:t>State of the capital markets and way ahead</w:t>
      </w:r>
    </w:p>
    <w:p w:rsidR="00F573F8" w:rsidRDefault="00F573F8" w:rsidP="00A45306">
      <w:pPr>
        <w:widowControl w:val="0"/>
        <w:tabs>
          <w:tab w:val="left" w:pos="671"/>
        </w:tabs>
        <w:spacing w:line="276" w:lineRule="auto"/>
        <w:jc w:val="both"/>
        <w:rPr>
          <w:rFonts w:ascii="Palatino Linotype" w:eastAsia="Arial" w:hAnsi="Palatino Linotype" w:cs="Arial"/>
          <w:b/>
          <w:bCs/>
          <w:sz w:val="22"/>
          <w:szCs w:val="22"/>
          <w:u w:val="single"/>
        </w:rPr>
      </w:pPr>
    </w:p>
    <w:p w:rsidR="00F573F8" w:rsidRPr="00F573F8" w:rsidRDefault="00F573F8" w:rsidP="00A45306">
      <w:pPr>
        <w:pStyle w:val="ListParagraph"/>
        <w:widowControl w:val="0"/>
        <w:numPr>
          <w:ilvl w:val="0"/>
          <w:numId w:val="19"/>
        </w:numPr>
        <w:tabs>
          <w:tab w:val="left" w:pos="671"/>
        </w:tabs>
        <w:spacing w:after="0"/>
        <w:ind w:left="0" w:firstLine="0"/>
        <w:jc w:val="both"/>
        <w:rPr>
          <w:rFonts w:ascii="Palatino Linotype" w:eastAsia="Arial" w:hAnsi="Palatino Linotype" w:cs="Arial"/>
          <w:b/>
          <w:bCs/>
          <w:sz w:val="22"/>
          <w:szCs w:val="22"/>
          <w:u w:val="single"/>
        </w:rPr>
      </w:pPr>
      <w:r w:rsidRPr="00F573F8">
        <w:rPr>
          <w:rFonts w:ascii="Palatino Linotype" w:eastAsia="Arial" w:hAnsi="Palatino Linotype" w:cs="Arial"/>
          <w:b/>
          <w:bCs/>
          <w:sz w:val="22"/>
          <w:szCs w:val="22"/>
          <w:u w:val="single"/>
        </w:rPr>
        <w:t>Fund raising:</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For achieving the 5 T target, an increase in private investments is crucial. For invigorating such investments, the fund raising activity ought to pick up. This can be by way of equity viz. through IPOs, QIPs, etc. or by way of debt viz. loans, corporate bonds, etc. or by various hybrid instruments viz. convertibles, REITs, InvITs, etc. The role SEBI can play in this arena is by strengthening robustness of the frameworks, easing the process and by providing new avenues for fund raising. Let me further elaborate on this.</w:t>
      </w:r>
    </w:p>
    <w:p w:rsidR="00F573F8" w:rsidRPr="00F573F8" w:rsidRDefault="00F573F8" w:rsidP="00A45306">
      <w:pPr>
        <w:widowControl w:val="0"/>
        <w:spacing w:line="276" w:lineRule="auto"/>
        <w:jc w:val="both"/>
        <w:rPr>
          <w:rFonts w:ascii="Palatino Linotype" w:hAnsi="Palatino Linotype"/>
          <w:sz w:val="22"/>
          <w:szCs w:val="22"/>
        </w:rPr>
      </w:pPr>
    </w:p>
    <w:p w:rsidR="00F573F8" w:rsidRPr="00F573F8" w:rsidRDefault="00F573F8" w:rsidP="00A45306">
      <w:pPr>
        <w:widowControl w:val="0"/>
        <w:spacing w:line="276" w:lineRule="auto"/>
        <w:jc w:val="both"/>
        <w:rPr>
          <w:rFonts w:ascii="Palatino Linotype" w:hAnsi="Palatino Linotype"/>
          <w:b/>
          <w:sz w:val="22"/>
          <w:szCs w:val="22"/>
        </w:rPr>
      </w:pPr>
      <w:r w:rsidRPr="00F573F8">
        <w:rPr>
          <w:rFonts w:ascii="Palatino Linotype" w:eastAsia="Arial" w:hAnsi="Palatino Linotype" w:cs="Arial"/>
          <w:b/>
          <w:bCs/>
          <w:sz w:val="22"/>
          <w:szCs w:val="22"/>
          <w:u w:val="single"/>
        </w:rPr>
        <w:t xml:space="preserve">Equity </w:t>
      </w:r>
      <w:r w:rsidR="004D5075" w:rsidRPr="00F573F8">
        <w:rPr>
          <w:rFonts w:ascii="Palatino Linotype" w:eastAsia="Arial" w:hAnsi="Palatino Linotype" w:cs="Arial"/>
          <w:b/>
          <w:bCs/>
          <w:sz w:val="22"/>
          <w:szCs w:val="22"/>
          <w:u w:val="single"/>
        </w:rPr>
        <w:t>Primary Market</w:t>
      </w:r>
    </w:p>
    <w:p w:rsidR="00F573F8" w:rsidRPr="00F573F8" w:rsidRDefault="00F573F8" w:rsidP="00A45306">
      <w:pPr>
        <w:widowControl w:val="0"/>
        <w:spacing w:line="276" w:lineRule="auto"/>
        <w:jc w:val="both"/>
        <w:rPr>
          <w:rFonts w:ascii="Palatino Linotype" w:hAnsi="Palatino Linotype"/>
          <w:sz w:val="22"/>
          <w:szCs w:val="22"/>
        </w:rPr>
      </w:pP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 xml:space="preserve">There has been a steady primary market activity in the equity space in the last 2-3 years. The equity capital raised by listed companies through various modes was around </w:t>
      </w:r>
      <w:r w:rsidR="006446D3" w:rsidRPr="006446D3">
        <w:rPr>
          <w:rFonts w:ascii="Rupee Foradian" w:eastAsia="Arial" w:hAnsi="Rupee Foradian" w:cs="Arial"/>
          <w:b/>
          <w:bCs/>
          <w:szCs w:val="22"/>
        </w:rPr>
        <w:t>`</w:t>
      </w:r>
      <w:r w:rsidRPr="00F573F8">
        <w:rPr>
          <w:rFonts w:ascii="Palatino Linotype" w:eastAsia="Arial" w:hAnsi="Palatino Linotype" w:cs="Arial"/>
          <w:bCs/>
          <w:sz w:val="22"/>
          <w:szCs w:val="22"/>
        </w:rPr>
        <w:t xml:space="preserve"> 2.4 lakh crore during 2017-18 and 2018-19. During the first five months of this financial year, equity raising is over </w:t>
      </w:r>
      <w:r w:rsidR="006446D3" w:rsidRPr="006446D3">
        <w:rPr>
          <w:rFonts w:ascii="Rupee Foradian" w:eastAsia="Arial" w:hAnsi="Rupee Foradian" w:cs="Arial"/>
          <w:b/>
          <w:bCs/>
          <w:szCs w:val="22"/>
        </w:rPr>
        <w:t>`</w:t>
      </w:r>
      <w:r w:rsidRPr="00F573F8">
        <w:rPr>
          <w:rFonts w:ascii="Palatino Linotype" w:eastAsia="Arial" w:hAnsi="Palatino Linotype" w:cs="Arial"/>
          <w:bCs/>
          <w:sz w:val="22"/>
          <w:szCs w:val="22"/>
        </w:rPr>
        <w:t xml:space="preserve"> 1.4 lakh crore. While raising of equity capital through IPOs has been falling, the companies have raised equity capital through other routes such as rights issues or QIPs or preferential allotments.</w:t>
      </w:r>
    </w:p>
    <w:p w:rsidR="00F573F8" w:rsidRPr="00F573F8" w:rsidRDefault="00F573F8" w:rsidP="00A45306">
      <w:pPr>
        <w:pStyle w:val="ListParagraph"/>
        <w:widowControl w:val="0"/>
        <w:tabs>
          <w:tab w:val="left" w:pos="660"/>
        </w:tabs>
        <w:ind w:left="360"/>
        <w:jc w:val="both"/>
        <w:rPr>
          <w:rFonts w:ascii="Palatino Linotype" w:eastAsia="Arial" w:hAnsi="Palatino Linotype" w:cs="Arial"/>
          <w:bCs/>
          <w:sz w:val="22"/>
          <w:szCs w:val="22"/>
        </w:rPr>
      </w:pPr>
    </w:p>
    <w:p w:rsid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lastRenderedPageBreak/>
        <w:t>SEBI has been taking measures for boosting investor confidence, ease of capital raising and further refining the primary market framework. We revamped and simplified our base Regulations for equity fund raising- i.e SEBI (Issue of Capital and Disclosure Requirements) Regulations in 2018. We have also recently reviewed and revised our Buyback Regulations.</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bookmarkStart w:id="2" w:name="page3"/>
      <w:bookmarkEnd w:id="2"/>
      <w:r w:rsidRPr="00F573F8">
        <w:rPr>
          <w:rFonts w:ascii="Palatino Linotype" w:eastAsia="Arial" w:hAnsi="Palatino Linotype" w:cs="Arial"/>
          <w:bCs/>
          <w:sz w:val="22"/>
          <w:szCs w:val="22"/>
        </w:rPr>
        <w:t>Aimed at reducing the listing time for an IPO from T+6 days to T+3 days, SEBI has introduced the use of UPI with ASBA facility as a new payment mechanism. The implementation of this major initiative is happening in a phased manner so that operational issues are eased out over time.</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SEBI has also taken measures for new avenues for fund raising. A separate segment called “Innovators Growth Platform”, with easier listing norms, has been set up at stock exchanges to help technology start-ups to raise capital. Considering the demand for Differential Voting Rights (DVRs) especially from companies in the tech space, a framework for DVRs has been recently notified albeit with safeguards to ensure that the governance standards and the interest of the minority shareholders are protected.</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Going forward, in the spirit of strengthening the robustness of our frameworks, we are working on several initiatives. Rights issues, in particular, have recently seen a pickup in activity. SEBI had put out a consultative paper to reduce the timelines for rights issues. We will be soon taking a view on this subject.</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The concept of ‘promoters’ has been prevalent in India for a long period of time. Globally, rather than promoters, the concept of ‘controlling shareholders’ is more prevalent. Keeping in mind changing realities of the global and Indian markets, we are examining the relevance of the concept of promoter in today’s times along with whether any changes to SEBI Regulations are warranted in this regard.</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A framework can only be as robust as the enforcement of its provisions. SEBI has been enforcing many of its regulatory requirements through a Standard Operating</w:t>
      </w:r>
      <w:bookmarkStart w:id="3" w:name="page4"/>
      <w:bookmarkEnd w:id="3"/>
      <w:r>
        <w:rPr>
          <w:rFonts w:ascii="Palatino Linotype" w:eastAsia="Arial" w:hAnsi="Palatino Linotype" w:cs="Arial"/>
          <w:bCs/>
          <w:sz w:val="22"/>
          <w:szCs w:val="22"/>
        </w:rPr>
        <w:t xml:space="preserve"> </w:t>
      </w:r>
      <w:r w:rsidRPr="00F573F8">
        <w:rPr>
          <w:rFonts w:ascii="Palatino Linotype" w:eastAsia="Arial" w:hAnsi="Palatino Linotype" w:cs="Arial"/>
          <w:bCs/>
          <w:sz w:val="22"/>
          <w:szCs w:val="22"/>
        </w:rPr>
        <w:t>Procedure implemented by the stock exchanges. We are in the process of strengthening this procedure further.</w:t>
      </w:r>
    </w:p>
    <w:p w:rsidR="00F573F8" w:rsidRPr="00F573F8" w:rsidRDefault="00F573F8" w:rsidP="00A45306">
      <w:pPr>
        <w:widowControl w:val="0"/>
        <w:spacing w:line="276" w:lineRule="auto"/>
        <w:jc w:val="both"/>
        <w:rPr>
          <w:rFonts w:ascii="Palatino Linotype" w:hAnsi="Palatino Linotype"/>
          <w:sz w:val="22"/>
          <w:szCs w:val="22"/>
        </w:rPr>
      </w:pPr>
    </w:p>
    <w:p w:rsidR="00F573F8" w:rsidRPr="00F573F8" w:rsidRDefault="00F573F8" w:rsidP="00A45306">
      <w:pPr>
        <w:widowControl w:val="0"/>
        <w:spacing w:line="276" w:lineRule="auto"/>
        <w:jc w:val="both"/>
        <w:rPr>
          <w:rFonts w:ascii="Palatino Linotype" w:eastAsia="Arial" w:hAnsi="Palatino Linotype" w:cs="Arial"/>
          <w:b/>
          <w:bCs/>
          <w:sz w:val="22"/>
          <w:szCs w:val="22"/>
          <w:u w:val="single"/>
        </w:rPr>
      </w:pPr>
      <w:r w:rsidRPr="00F573F8">
        <w:rPr>
          <w:rFonts w:ascii="Palatino Linotype" w:eastAsia="Arial" w:hAnsi="Palatino Linotype" w:cs="Arial"/>
          <w:b/>
          <w:bCs/>
          <w:sz w:val="22"/>
          <w:szCs w:val="22"/>
          <w:u w:val="single"/>
        </w:rPr>
        <w:t>Corporate bond markets</w:t>
      </w:r>
    </w:p>
    <w:p w:rsidR="00F573F8" w:rsidRPr="00F573F8" w:rsidRDefault="00F573F8" w:rsidP="00A45306">
      <w:pPr>
        <w:widowControl w:val="0"/>
        <w:spacing w:line="276" w:lineRule="auto"/>
        <w:jc w:val="both"/>
        <w:rPr>
          <w:rFonts w:ascii="Palatino Linotype" w:hAnsi="Palatino Linotype"/>
          <w:sz w:val="22"/>
          <w:szCs w:val="22"/>
        </w:rPr>
      </w:pP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 xml:space="preserve">As per one estimate, to achieve a USD 5 trillion GDP goal, credit supply needs to double to </w:t>
      </w:r>
      <w:r w:rsidR="006446D3" w:rsidRPr="006446D3">
        <w:rPr>
          <w:rFonts w:ascii="Rupee Foradian" w:eastAsia="Arial" w:hAnsi="Rupee Foradian" w:cs="Arial"/>
          <w:b/>
          <w:bCs/>
          <w:szCs w:val="22"/>
        </w:rPr>
        <w:t>`</w:t>
      </w:r>
      <w:r w:rsidRPr="00F573F8">
        <w:rPr>
          <w:rFonts w:ascii="Palatino Linotype" w:eastAsia="Arial" w:hAnsi="Palatino Linotype" w:cs="Arial"/>
          <w:bCs/>
          <w:sz w:val="22"/>
          <w:szCs w:val="22"/>
        </w:rPr>
        <w:t xml:space="preserve"> 188 trillion from approximately </w:t>
      </w:r>
      <w:r w:rsidR="006446D3" w:rsidRPr="006446D3">
        <w:rPr>
          <w:rFonts w:ascii="Rupee Foradian" w:eastAsia="Arial" w:hAnsi="Rupee Foradian" w:cs="Arial"/>
          <w:b/>
          <w:bCs/>
          <w:szCs w:val="22"/>
        </w:rPr>
        <w:t>`</w:t>
      </w:r>
      <w:r w:rsidRPr="00F573F8">
        <w:rPr>
          <w:rFonts w:ascii="Palatino Linotype" w:eastAsia="Arial" w:hAnsi="Palatino Linotype" w:cs="Arial"/>
          <w:bCs/>
          <w:sz w:val="22"/>
          <w:szCs w:val="22"/>
        </w:rPr>
        <w:t xml:space="preserve"> 98 trillion at present. From a corporate’s perspective, this would largely involve raising of debt through two options- either loans or corporate bonds.</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As there has been a conscious effort to move from Bank Credit to other forms of credit, securities markets will have to further step up and provide the much needed debt capital for fuelling investment and generating the desired growth. In fact, to achieve the necessary credit mobilisation to reach the 5T target, the development of corporate bond market is a sine qua non.</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 xml:space="preserve">Fund mobilisation through corporate bonds has increased from </w:t>
      </w:r>
      <w:r w:rsidR="006446D3" w:rsidRPr="006446D3">
        <w:rPr>
          <w:rFonts w:ascii="Rupee Foradian" w:eastAsia="Arial" w:hAnsi="Rupee Foradian" w:cs="Arial"/>
          <w:b/>
          <w:bCs/>
          <w:szCs w:val="22"/>
        </w:rPr>
        <w:t>`</w:t>
      </w:r>
      <w:r w:rsidRPr="00F573F8">
        <w:rPr>
          <w:rFonts w:ascii="Palatino Linotype" w:eastAsia="Arial" w:hAnsi="Palatino Linotype" w:cs="Arial"/>
          <w:bCs/>
          <w:sz w:val="22"/>
          <w:szCs w:val="22"/>
        </w:rPr>
        <w:t xml:space="preserve"> 3.18 lakh crore in 2013-14 to </w:t>
      </w:r>
      <w:r w:rsidR="006446D3" w:rsidRPr="006446D3">
        <w:rPr>
          <w:rFonts w:ascii="Rupee Foradian" w:eastAsia="Arial" w:hAnsi="Rupee Foradian" w:cs="Arial"/>
          <w:b/>
          <w:bCs/>
          <w:szCs w:val="22"/>
        </w:rPr>
        <w:t>`</w:t>
      </w:r>
      <w:r w:rsidRPr="00F573F8">
        <w:rPr>
          <w:rFonts w:ascii="Palatino Linotype" w:eastAsia="Arial" w:hAnsi="Palatino Linotype" w:cs="Arial"/>
          <w:bCs/>
          <w:sz w:val="22"/>
          <w:szCs w:val="22"/>
        </w:rPr>
        <w:t xml:space="preserve"> 6.5 lakh crore during 2018-19. In the current financial year, </w:t>
      </w:r>
      <w:r w:rsidR="006446D3" w:rsidRPr="006446D3">
        <w:rPr>
          <w:rFonts w:ascii="Rupee Foradian" w:eastAsia="Arial" w:hAnsi="Rupee Foradian" w:cs="Arial"/>
          <w:b/>
          <w:bCs/>
          <w:szCs w:val="22"/>
        </w:rPr>
        <w:t>`</w:t>
      </w:r>
      <w:r w:rsidRPr="00F573F8">
        <w:rPr>
          <w:rFonts w:ascii="Palatino Linotype" w:eastAsia="Arial" w:hAnsi="Palatino Linotype" w:cs="Arial"/>
          <w:bCs/>
          <w:sz w:val="22"/>
          <w:szCs w:val="22"/>
        </w:rPr>
        <w:t xml:space="preserve"> 2.56 lakh Crore has been mobilised till August.</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 xml:space="preserve">The Government and regulators have been taking measures over the period for the development of bond market. Even in the recent budget and subsequently in an announcement by the Hon’ble Finance Minister, several initiatives to develop the bond market have been announced. An </w:t>
      </w:r>
      <w:r w:rsidRPr="00F573F8">
        <w:rPr>
          <w:rFonts w:ascii="Palatino Linotype" w:eastAsia="Arial" w:hAnsi="Palatino Linotype" w:cs="Arial"/>
          <w:bCs/>
          <w:sz w:val="22"/>
          <w:szCs w:val="22"/>
        </w:rPr>
        <w:lastRenderedPageBreak/>
        <w:t>important measure by SEBI has been a framework for listed large corporates to mandatorily meet 25 per cent of their financing needs through issuance of debt securities. We are likely to see the outcome of this measure by end of this financial year.</w:t>
      </w:r>
    </w:p>
    <w:p w:rsid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bookmarkStart w:id="4" w:name="page5"/>
      <w:bookmarkEnd w:id="4"/>
      <w:r w:rsidRPr="00F573F8">
        <w:rPr>
          <w:rFonts w:ascii="Palatino Linotype" w:eastAsia="Arial" w:hAnsi="Palatino Linotype" w:cs="Arial"/>
          <w:bCs/>
          <w:sz w:val="22"/>
          <w:szCs w:val="22"/>
        </w:rPr>
        <w:t>Going forward, the corporate bond market needs to expand to cover a larger set of issuers, a wider set of investors and instruments of a wider maturity range.</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As of now, the corporate bond market is dominated by issuers with ratings of AA and above. The share in issuance of papers rated below AA is around 10</w:t>
      </w:r>
      <w:r w:rsidR="006446D3">
        <w:rPr>
          <w:rFonts w:ascii="Palatino Linotype" w:eastAsia="Arial" w:hAnsi="Palatino Linotype" w:cs="Arial"/>
          <w:bCs/>
          <w:sz w:val="22"/>
          <w:szCs w:val="22"/>
        </w:rPr>
        <w:t xml:space="preserve"> </w:t>
      </w:r>
      <w:r w:rsidR="005B5C45">
        <w:rPr>
          <w:rFonts w:ascii="Palatino Linotype" w:eastAsia="Arial" w:hAnsi="Palatino Linotype" w:cs="Arial"/>
          <w:bCs/>
          <w:sz w:val="22"/>
          <w:szCs w:val="22"/>
        </w:rPr>
        <w:t>per cent</w:t>
      </w:r>
      <w:r w:rsidRPr="00F573F8">
        <w:rPr>
          <w:rFonts w:ascii="Palatino Linotype" w:eastAsia="Arial" w:hAnsi="Palatino Linotype" w:cs="Arial"/>
          <w:bCs/>
          <w:sz w:val="22"/>
          <w:szCs w:val="22"/>
        </w:rPr>
        <w:t>. The creation of an institutional mechanism for providing credit enhancement / credit guarantee support, as announced by the Government, would provide comfort to investors for investing in lower rated bonds and would help such companies to raise funds from bond market. Regulatory relaxations to institutional investors to invest in bonds of such issuers would also be an important measure to improve demand for such securities. Another reason for an averseness towards lower rated bonds is the experience of poor recovery in case of default. An effective implementation of IBC would provide an additional layer of confidence and security to bond investors.</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On widening the investor base, an often desired goal is to increase retail participation in debt securities including Government securities. The announcement made by the Hon’ble Finance Minister in this year’s Budget, relating to inter-operability of RBI depositories and SEBI depositories, is expected to have a positive impact towards this end. We are also in the process of enabling an App based subscription mechanism and UPI based participation which may facilitate increased retail participation.</w:t>
      </w:r>
    </w:p>
    <w:p w:rsidR="00F573F8" w:rsidRPr="004D5075"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4D5075">
        <w:rPr>
          <w:rFonts w:ascii="Palatino Linotype" w:eastAsia="Arial" w:hAnsi="Palatino Linotype" w:cs="Arial"/>
          <w:bCs/>
          <w:sz w:val="22"/>
          <w:szCs w:val="22"/>
        </w:rPr>
        <w:t>On wider maturity options, it is necessary to touch upon the issue of a continuous yield curve. Since a corporate bond is generally priced on the basis of price of G-</w:t>
      </w:r>
      <w:bookmarkStart w:id="5" w:name="page6"/>
      <w:bookmarkEnd w:id="5"/>
      <w:r w:rsidR="004D5075">
        <w:rPr>
          <w:rFonts w:ascii="Palatino Linotype" w:eastAsia="Arial" w:hAnsi="Palatino Linotype" w:cs="Arial"/>
          <w:bCs/>
          <w:sz w:val="22"/>
          <w:szCs w:val="22"/>
        </w:rPr>
        <w:t xml:space="preserve"> </w:t>
      </w:r>
      <w:r w:rsidRPr="004D5075">
        <w:rPr>
          <w:rFonts w:ascii="Palatino Linotype" w:eastAsia="Arial" w:hAnsi="Palatino Linotype" w:cs="Arial"/>
          <w:bCs/>
          <w:sz w:val="22"/>
          <w:szCs w:val="22"/>
        </w:rPr>
        <w:t>Sec of comparable tenure, it is important to have a robust, continuous G-Sec Yield Curve which is currently lacking.</w:t>
      </w:r>
    </w:p>
    <w:p w:rsidR="00F573F8" w:rsidRPr="00F573F8" w:rsidRDefault="00F573F8" w:rsidP="00A45306">
      <w:pPr>
        <w:widowControl w:val="0"/>
        <w:spacing w:line="276" w:lineRule="auto"/>
        <w:jc w:val="both"/>
        <w:rPr>
          <w:rFonts w:ascii="Palatino Linotype" w:hAnsi="Palatino Linotype"/>
          <w:sz w:val="22"/>
          <w:szCs w:val="22"/>
        </w:rPr>
      </w:pPr>
    </w:p>
    <w:p w:rsidR="00F573F8" w:rsidRPr="004D5075" w:rsidRDefault="00F573F8" w:rsidP="00A45306">
      <w:pPr>
        <w:widowControl w:val="0"/>
        <w:spacing w:line="276" w:lineRule="auto"/>
        <w:jc w:val="both"/>
        <w:rPr>
          <w:rFonts w:ascii="Palatino Linotype" w:eastAsia="Arial" w:hAnsi="Palatino Linotype" w:cs="Arial"/>
          <w:b/>
          <w:bCs/>
          <w:sz w:val="22"/>
          <w:szCs w:val="22"/>
          <w:u w:val="single"/>
        </w:rPr>
      </w:pPr>
      <w:r w:rsidRPr="004D5075">
        <w:rPr>
          <w:rFonts w:ascii="Palatino Linotype" w:eastAsia="Arial" w:hAnsi="Palatino Linotype" w:cs="Arial"/>
          <w:b/>
          <w:bCs/>
          <w:sz w:val="22"/>
          <w:szCs w:val="22"/>
          <w:u w:val="single"/>
        </w:rPr>
        <w:t>New Products for mobilising funds</w:t>
      </w:r>
    </w:p>
    <w:p w:rsidR="00F573F8" w:rsidRPr="00F573F8" w:rsidRDefault="00F573F8" w:rsidP="00A45306">
      <w:pPr>
        <w:widowControl w:val="0"/>
        <w:spacing w:line="276" w:lineRule="auto"/>
        <w:jc w:val="both"/>
        <w:rPr>
          <w:rFonts w:ascii="Palatino Linotype" w:hAnsi="Palatino Linotype"/>
          <w:sz w:val="22"/>
          <w:szCs w:val="22"/>
        </w:rPr>
      </w:pPr>
    </w:p>
    <w:p w:rsidR="00F573F8" w:rsidRPr="004D5075" w:rsidRDefault="00F573F8" w:rsidP="00A45306">
      <w:pPr>
        <w:widowControl w:val="0"/>
        <w:spacing w:line="276" w:lineRule="auto"/>
        <w:jc w:val="both"/>
        <w:rPr>
          <w:rFonts w:ascii="Palatino Linotype" w:eastAsia="Arial" w:hAnsi="Palatino Linotype" w:cs="Arial"/>
          <w:b/>
          <w:bCs/>
          <w:sz w:val="22"/>
          <w:szCs w:val="22"/>
          <w:u w:val="single"/>
        </w:rPr>
      </w:pPr>
      <w:r w:rsidRPr="004D5075">
        <w:rPr>
          <w:rFonts w:ascii="Palatino Linotype" w:eastAsia="Arial" w:hAnsi="Palatino Linotype" w:cs="Arial"/>
          <w:b/>
          <w:bCs/>
          <w:sz w:val="22"/>
          <w:szCs w:val="22"/>
          <w:u w:val="single"/>
        </w:rPr>
        <w:t>Municipal Bonds</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 xml:space="preserve">To enable borrowing of funds by municipalities, SEBI had notified SEBI (Issue and Listing of debt securities by Municipalities) Regulations, 2015. However, till date, only 7 municipalities have raised </w:t>
      </w:r>
      <w:r w:rsidR="006446D3" w:rsidRPr="006446D3">
        <w:rPr>
          <w:rFonts w:ascii="Rupee Foradian" w:eastAsia="Arial" w:hAnsi="Rupee Foradian" w:cs="Arial"/>
          <w:b/>
          <w:bCs/>
          <w:szCs w:val="22"/>
        </w:rPr>
        <w:t>`</w:t>
      </w:r>
      <w:r w:rsidR="006446D3">
        <w:rPr>
          <w:rFonts w:ascii="Palatino Linotype" w:eastAsia="Arial" w:hAnsi="Palatino Linotype" w:cs="Arial"/>
          <w:bCs/>
          <w:sz w:val="22"/>
          <w:szCs w:val="22"/>
        </w:rPr>
        <w:t xml:space="preserve"> 1489.9</w:t>
      </w:r>
      <w:r w:rsidRPr="00F573F8">
        <w:rPr>
          <w:rFonts w:ascii="Palatino Linotype" w:eastAsia="Arial" w:hAnsi="Palatino Linotype" w:cs="Arial"/>
          <w:bCs/>
          <w:sz w:val="22"/>
          <w:szCs w:val="22"/>
        </w:rPr>
        <w:t xml:space="preserve"> crore through issue of municipal debt securities.</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We have recently rationalised the framework under these Regulations. The definition of issuer has been expanded to include bodies such as urban development authorities, city planning agencies, etc. performing functions akin to those performed by municipalities. Various requirements such as monitoring agency, project implementation cell, Government backing, maintenance of 100</w:t>
      </w:r>
      <w:r w:rsidR="006446D3">
        <w:rPr>
          <w:rFonts w:ascii="Palatino Linotype" w:eastAsia="Arial" w:hAnsi="Palatino Linotype" w:cs="Arial"/>
          <w:bCs/>
          <w:sz w:val="22"/>
          <w:szCs w:val="22"/>
        </w:rPr>
        <w:t xml:space="preserve"> </w:t>
      </w:r>
      <w:r w:rsidR="005B5C45">
        <w:rPr>
          <w:rFonts w:ascii="Palatino Linotype" w:eastAsia="Arial" w:hAnsi="Palatino Linotype" w:cs="Arial"/>
          <w:bCs/>
          <w:sz w:val="22"/>
          <w:szCs w:val="22"/>
        </w:rPr>
        <w:t>per cent</w:t>
      </w:r>
      <w:r w:rsidRPr="00F573F8">
        <w:rPr>
          <w:rFonts w:ascii="Palatino Linotype" w:eastAsia="Arial" w:hAnsi="Palatino Linotype" w:cs="Arial"/>
          <w:bCs/>
          <w:sz w:val="22"/>
          <w:szCs w:val="22"/>
        </w:rPr>
        <w:t xml:space="preserve"> asset cover, etc. have been relaxed to ease fund raising through the framework. With these measures, we expect an uptake in the issue of municipal bonds.</w:t>
      </w:r>
    </w:p>
    <w:p w:rsidR="00F573F8" w:rsidRPr="00F573F8" w:rsidRDefault="00F573F8" w:rsidP="00A45306">
      <w:pPr>
        <w:widowControl w:val="0"/>
        <w:spacing w:line="276" w:lineRule="auto"/>
        <w:jc w:val="both"/>
        <w:rPr>
          <w:rFonts w:ascii="Palatino Linotype" w:hAnsi="Palatino Linotype"/>
          <w:sz w:val="22"/>
          <w:szCs w:val="22"/>
        </w:rPr>
      </w:pPr>
    </w:p>
    <w:p w:rsidR="00F573F8" w:rsidRPr="004D5075" w:rsidRDefault="00F573F8" w:rsidP="00A45306">
      <w:pPr>
        <w:widowControl w:val="0"/>
        <w:spacing w:line="276" w:lineRule="auto"/>
        <w:jc w:val="both"/>
        <w:rPr>
          <w:rFonts w:ascii="Palatino Linotype" w:eastAsia="Arial" w:hAnsi="Palatino Linotype" w:cs="Arial"/>
          <w:b/>
          <w:bCs/>
          <w:sz w:val="22"/>
          <w:szCs w:val="22"/>
          <w:u w:val="single"/>
        </w:rPr>
      </w:pPr>
      <w:r w:rsidRPr="004D5075">
        <w:rPr>
          <w:rFonts w:ascii="Palatino Linotype" w:eastAsia="Arial" w:hAnsi="Palatino Linotype" w:cs="Arial"/>
          <w:b/>
          <w:bCs/>
          <w:sz w:val="22"/>
          <w:szCs w:val="22"/>
          <w:u w:val="single"/>
        </w:rPr>
        <w:t>REITs and InvITs</w:t>
      </w:r>
    </w:p>
    <w:p w:rsidR="00F573F8" w:rsidRPr="00F573F8" w:rsidRDefault="00F573F8" w:rsidP="00A45306">
      <w:pPr>
        <w:widowControl w:val="0"/>
        <w:spacing w:line="276" w:lineRule="auto"/>
        <w:jc w:val="both"/>
        <w:rPr>
          <w:rFonts w:ascii="Palatino Linotype" w:hAnsi="Palatino Linotype"/>
          <w:sz w:val="22"/>
          <w:szCs w:val="22"/>
        </w:rPr>
      </w:pPr>
    </w:p>
    <w:p w:rsidR="00F573F8" w:rsidRPr="004D5075"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4D5075">
        <w:rPr>
          <w:rFonts w:ascii="Palatino Linotype" w:eastAsia="Arial" w:hAnsi="Palatino Linotype" w:cs="Arial"/>
          <w:bCs/>
          <w:sz w:val="22"/>
          <w:szCs w:val="22"/>
        </w:rPr>
        <w:t xml:space="preserve">Infrastructure and real estate are two sectors where the spill-over to the other sectors of the economy is one of the highest. Therefore, any boost to these two sectors automatically translates into a multiplier effect on the rest of the economy. The Budget 2019-20 has announced that the </w:t>
      </w:r>
      <w:r w:rsidRPr="004D5075">
        <w:rPr>
          <w:rFonts w:ascii="Palatino Linotype" w:eastAsia="Arial" w:hAnsi="Palatino Linotype" w:cs="Arial"/>
          <w:bCs/>
          <w:sz w:val="22"/>
          <w:szCs w:val="22"/>
        </w:rPr>
        <w:lastRenderedPageBreak/>
        <w:t xml:space="preserve">Government would invest </w:t>
      </w:r>
      <w:r w:rsidR="006446D3" w:rsidRPr="006446D3">
        <w:rPr>
          <w:rFonts w:ascii="Rupee Foradian" w:eastAsia="Arial" w:hAnsi="Rupee Foradian" w:cs="Arial"/>
          <w:b/>
          <w:bCs/>
          <w:szCs w:val="22"/>
        </w:rPr>
        <w:t>`</w:t>
      </w:r>
      <w:r w:rsidRPr="004D5075">
        <w:rPr>
          <w:rFonts w:ascii="Palatino Linotype" w:eastAsia="Arial" w:hAnsi="Palatino Linotype" w:cs="Arial"/>
          <w:bCs/>
          <w:sz w:val="22"/>
          <w:szCs w:val="22"/>
        </w:rPr>
        <w:t xml:space="preserve"> 100 lakh crore on infrastructure in the next five years i.e. </w:t>
      </w:r>
      <w:r w:rsidR="006446D3" w:rsidRPr="006446D3">
        <w:rPr>
          <w:rFonts w:ascii="Rupee Foradian" w:eastAsia="Arial" w:hAnsi="Rupee Foradian" w:cs="Arial"/>
          <w:b/>
          <w:bCs/>
          <w:szCs w:val="22"/>
        </w:rPr>
        <w:t>`</w:t>
      </w:r>
      <w:r w:rsidRPr="004D5075">
        <w:rPr>
          <w:rFonts w:ascii="Palatino Linotype" w:eastAsia="Arial" w:hAnsi="Palatino Linotype" w:cs="Arial"/>
          <w:bCs/>
          <w:sz w:val="22"/>
          <w:szCs w:val="22"/>
        </w:rPr>
        <w:t xml:space="preserve"> 20 lakh crore per year.</w:t>
      </w:r>
      <w:bookmarkStart w:id="6" w:name="page7"/>
      <w:bookmarkEnd w:id="6"/>
      <w:r w:rsidR="004D5075">
        <w:rPr>
          <w:rFonts w:ascii="Palatino Linotype" w:eastAsia="Arial" w:hAnsi="Palatino Linotype" w:cs="Arial"/>
          <w:bCs/>
          <w:sz w:val="22"/>
          <w:szCs w:val="22"/>
        </w:rPr>
        <w:t xml:space="preserve"> </w:t>
      </w:r>
      <w:r w:rsidRPr="004D5075">
        <w:rPr>
          <w:rFonts w:ascii="Palatino Linotype" w:eastAsia="Arial" w:hAnsi="Palatino Linotype" w:cs="Arial"/>
          <w:bCs/>
          <w:sz w:val="22"/>
          <w:szCs w:val="22"/>
        </w:rPr>
        <w:t xml:space="preserve">Considering that the total infrastructure investment during the FY 2018 was about </w:t>
      </w:r>
      <w:r w:rsidR="006446D3" w:rsidRPr="006446D3">
        <w:rPr>
          <w:rFonts w:ascii="Rupee Foradian" w:eastAsia="Arial" w:hAnsi="Rupee Foradian" w:cs="Arial"/>
          <w:b/>
          <w:bCs/>
          <w:szCs w:val="22"/>
        </w:rPr>
        <w:t>`</w:t>
      </w:r>
      <w:r w:rsidR="006446D3">
        <w:rPr>
          <w:rFonts w:ascii="Palatino Linotype" w:eastAsia="Arial" w:hAnsi="Palatino Linotype" w:cs="Arial"/>
          <w:bCs/>
          <w:sz w:val="22"/>
          <w:szCs w:val="22"/>
        </w:rPr>
        <w:t xml:space="preserve"> </w:t>
      </w:r>
      <w:r w:rsidRPr="004D5075">
        <w:rPr>
          <w:rFonts w:ascii="Palatino Linotype" w:eastAsia="Arial" w:hAnsi="Palatino Linotype" w:cs="Arial"/>
          <w:bCs/>
          <w:sz w:val="22"/>
          <w:szCs w:val="22"/>
        </w:rPr>
        <w:t>9.5 lakh crore, the Government announcement amounts to doubling the infrastructure investment per year.</w:t>
      </w:r>
    </w:p>
    <w:p w:rsidR="00F573F8" w:rsidRPr="004D5075" w:rsidRDefault="004D5075"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Pr>
          <w:rFonts w:ascii="Palatino Linotype" w:eastAsia="Arial" w:hAnsi="Palatino Linotype" w:cs="Arial"/>
          <w:bCs/>
          <w:sz w:val="22"/>
          <w:szCs w:val="22"/>
        </w:rPr>
        <w:t xml:space="preserve">24. </w:t>
      </w:r>
      <w:r w:rsidR="00F573F8" w:rsidRPr="00F573F8">
        <w:rPr>
          <w:rFonts w:ascii="Palatino Linotype" w:eastAsia="Arial" w:hAnsi="Palatino Linotype" w:cs="Arial"/>
          <w:bCs/>
          <w:sz w:val="22"/>
          <w:szCs w:val="22"/>
        </w:rPr>
        <w:t xml:space="preserve"> During FY 2018, the contribution of Central Government, State Government and private sector funding of infrastructure projects was about 44</w:t>
      </w:r>
      <w:r w:rsidR="006446D3">
        <w:rPr>
          <w:rFonts w:ascii="Palatino Linotype" w:eastAsia="Arial" w:hAnsi="Palatino Linotype" w:cs="Arial"/>
          <w:bCs/>
          <w:sz w:val="22"/>
          <w:szCs w:val="22"/>
        </w:rPr>
        <w:t xml:space="preserve"> </w:t>
      </w:r>
      <w:r w:rsidR="005B5C45">
        <w:rPr>
          <w:rFonts w:ascii="Palatino Linotype" w:eastAsia="Arial" w:hAnsi="Palatino Linotype" w:cs="Arial"/>
          <w:bCs/>
          <w:sz w:val="22"/>
          <w:szCs w:val="22"/>
        </w:rPr>
        <w:t>per cent</w:t>
      </w:r>
      <w:r w:rsidR="00F573F8" w:rsidRPr="00F573F8">
        <w:rPr>
          <w:rFonts w:ascii="Palatino Linotype" w:eastAsia="Arial" w:hAnsi="Palatino Linotype" w:cs="Arial"/>
          <w:bCs/>
          <w:sz w:val="22"/>
          <w:szCs w:val="22"/>
        </w:rPr>
        <w:t>, 33</w:t>
      </w:r>
      <w:r w:rsidR="006446D3">
        <w:rPr>
          <w:rFonts w:ascii="Palatino Linotype" w:eastAsia="Arial" w:hAnsi="Palatino Linotype" w:cs="Arial"/>
          <w:bCs/>
          <w:sz w:val="22"/>
          <w:szCs w:val="22"/>
        </w:rPr>
        <w:t xml:space="preserve"> </w:t>
      </w:r>
      <w:r w:rsidR="005B5C45">
        <w:rPr>
          <w:rFonts w:ascii="Palatino Linotype" w:eastAsia="Arial" w:hAnsi="Palatino Linotype" w:cs="Arial"/>
          <w:bCs/>
          <w:sz w:val="22"/>
          <w:szCs w:val="22"/>
        </w:rPr>
        <w:t>per cent</w:t>
      </w:r>
      <w:r w:rsidR="00F573F8" w:rsidRPr="00F573F8">
        <w:rPr>
          <w:rFonts w:ascii="Palatino Linotype" w:eastAsia="Arial" w:hAnsi="Palatino Linotype" w:cs="Arial"/>
          <w:bCs/>
          <w:sz w:val="22"/>
          <w:szCs w:val="22"/>
        </w:rPr>
        <w:t xml:space="preserve"> and 23</w:t>
      </w:r>
      <w:r w:rsidR="006446D3">
        <w:rPr>
          <w:rFonts w:ascii="Palatino Linotype" w:eastAsia="Arial" w:hAnsi="Palatino Linotype" w:cs="Arial"/>
          <w:bCs/>
          <w:sz w:val="22"/>
          <w:szCs w:val="22"/>
        </w:rPr>
        <w:t xml:space="preserve"> </w:t>
      </w:r>
      <w:r w:rsidR="005B5C45">
        <w:rPr>
          <w:rFonts w:ascii="Palatino Linotype" w:eastAsia="Arial" w:hAnsi="Palatino Linotype" w:cs="Arial"/>
          <w:bCs/>
          <w:sz w:val="22"/>
          <w:szCs w:val="22"/>
        </w:rPr>
        <w:t>per cent</w:t>
      </w:r>
      <w:r w:rsidR="00F573F8" w:rsidRPr="00F573F8">
        <w:rPr>
          <w:rFonts w:ascii="Palatino Linotype" w:eastAsia="Arial" w:hAnsi="Palatino Linotype" w:cs="Arial"/>
          <w:bCs/>
          <w:sz w:val="22"/>
          <w:szCs w:val="22"/>
        </w:rPr>
        <w:t xml:space="preserve"> respectively. Going forward, the share of private sector funding need to increase substantially.</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While raising equity and debt by private sector for green field infrastructure projects in challenging, one way of enhancing the funding capacity is through giving an exit route from the completed project so that developers, investors and lenders can redeploy the fund in new and under construction project.</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REITs and InvITs are vehicles through which the funds deployed in completed projects could be provided exit which in turn could be recycled into new and under-construction projects. SEBI has taken several initiatives over the last few years to strengthen the regulatory framework for these two products. We are also analysing a framework for easing the process of preferential issue of units by REITs and InvITs.</w:t>
      </w:r>
    </w:p>
    <w:p w:rsidR="004D5075" w:rsidRPr="00F573F8" w:rsidRDefault="004D5075" w:rsidP="00A45306">
      <w:pPr>
        <w:widowControl w:val="0"/>
        <w:spacing w:line="276" w:lineRule="auto"/>
        <w:jc w:val="both"/>
        <w:rPr>
          <w:rFonts w:ascii="Palatino Linotype" w:hAnsi="Palatino Linotype"/>
          <w:sz w:val="22"/>
          <w:szCs w:val="22"/>
        </w:rPr>
      </w:pPr>
    </w:p>
    <w:p w:rsidR="00F573F8" w:rsidRPr="004D5075" w:rsidRDefault="00F573F8" w:rsidP="00A45306">
      <w:pPr>
        <w:pStyle w:val="ListParagraph"/>
        <w:widowControl w:val="0"/>
        <w:numPr>
          <w:ilvl w:val="0"/>
          <w:numId w:val="19"/>
        </w:numPr>
        <w:tabs>
          <w:tab w:val="left" w:pos="671"/>
        </w:tabs>
        <w:spacing w:after="0"/>
        <w:ind w:left="0" w:firstLine="0"/>
        <w:jc w:val="both"/>
        <w:rPr>
          <w:rFonts w:ascii="Palatino Linotype" w:eastAsia="Arial" w:hAnsi="Palatino Linotype" w:cs="Arial"/>
          <w:b/>
          <w:bCs/>
          <w:sz w:val="22"/>
          <w:szCs w:val="22"/>
          <w:u w:val="single"/>
        </w:rPr>
      </w:pPr>
      <w:r w:rsidRPr="004D5075">
        <w:rPr>
          <w:rFonts w:ascii="Palatino Linotype" w:eastAsia="Arial" w:hAnsi="Palatino Linotype" w:cs="Arial"/>
          <w:b/>
          <w:bCs/>
          <w:sz w:val="22"/>
          <w:szCs w:val="22"/>
          <w:u w:val="single"/>
        </w:rPr>
        <w:t>Foreign investment</w:t>
      </w:r>
    </w:p>
    <w:p w:rsidR="00F573F8" w:rsidRPr="00F573F8" w:rsidRDefault="00F573F8" w:rsidP="00A45306">
      <w:pPr>
        <w:widowControl w:val="0"/>
        <w:spacing w:line="276" w:lineRule="auto"/>
        <w:jc w:val="both"/>
        <w:rPr>
          <w:rFonts w:ascii="Palatino Linotype" w:hAnsi="Palatino Linotype"/>
          <w:sz w:val="22"/>
          <w:szCs w:val="22"/>
        </w:rPr>
      </w:pP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The increase in domestic investment to support a 5 T economy has to be necessarily supplemented by foreign capital inflows.</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bookmarkStart w:id="7" w:name="page8"/>
      <w:bookmarkEnd w:id="7"/>
      <w:r w:rsidRPr="00F573F8">
        <w:rPr>
          <w:rFonts w:ascii="Palatino Linotype" w:eastAsia="Arial" w:hAnsi="Palatino Linotype" w:cs="Arial"/>
          <w:bCs/>
          <w:sz w:val="22"/>
          <w:szCs w:val="22"/>
        </w:rPr>
        <w:t>As on March 31, 2019 a total of 9,390 FPIs from 59 different countries were registered with SEBI. FPI Regulations have seen a sea change over the last couple of years. The recently notified regulations inter-alia provide for relaxed requirements for registration and KYC documentation, which are expected to further facilitate FPI investments in India.</w:t>
      </w:r>
    </w:p>
    <w:p w:rsidR="00F573F8" w:rsidRPr="00F573F8" w:rsidRDefault="00F573F8" w:rsidP="00A45306">
      <w:pPr>
        <w:widowControl w:val="0"/>
        <w:spacing w:line="276" w:lineRule="auto"/>
        <w:jc w:val="both"/>
        <w:rPr>
          <w:rFonts w:ascii="Palatino Linotype" w:hAnsi="Palatino Linotype"/>
          <w:sz w:val="22"/>
          <w:szCs w:val="22"/>
        </w:rPr>
      </w:pPr>
    </w:p>
    <w:p w:rsidR="00F573F8" w:rsidRPr="004D5075" w:rsidRDefault="00F573F8" w:rsidP="00A45306">
      <w:pPr>
        <w:pStyle w:val="ListParagraph"/>
        <w:widowControl w:val="0"/>
        <w:numPr>
          <w:ilvl w:val="0"/>
          <w:numId w:val="19"/>
        </w:numPr>
        <w:tabs>
          <w:tab w:val="left" w:pos="671"/>
        </w:tabs>
        <w:spacing w:after="0"/>
        <w:ind w:left="0" w:firstLine="0"/>
        <w:jc w:val="both"/>
        <w:rPr>
          <w:rFonts w:ascii="Palatino Linotype" w:eastAsia="Arial" w:hAnsi="Palatino Linotype" w:cs="Arial"/>
          <w:b/>
          <w:bCs/>
          <w:sz w:val="22"/>
          <w:szCs w:val="22"/>
          <w:u w:val="single"/>
        </w:rPr>
      </w:pPr>
      <w:r w:rsidRPr="004D5075">
        <w:rPr>
          <w:rFonts w:ascii="Palatino Linotype" w:eastAsia="Arial" w:hAnsi="Palatino Linotype" w:cs="Arial"/>
          <w:b/>
          <w:bCs/>
          <w:sz w:val="22"/>
          <w:szCs w:val="22"/>
          <w:u w:val="single"/>
        </w:rPr>
        <w:t>Secondary markets</w:t>
      </w:r>
    </w:p>
    <w:p w:rsidR="00F573F8" w:rsidRPr="00F573F8" w:rsidRDefault="00F573F8" w:rsidP="00A45306">
      <w:pPr>
        <w:widowControl w:val="0"/>
        <w:spacing w:line="276" w:lineRule="auto"/>
        <w:jc w:val="both"/>
        <w:rPr>
          <w:rFonts w:ascii="Palatino Linotype" w:hAnsi="Palatino Linotype"/>
          <w:sz w:val="22"/>
          <w:szCs w:val="22"/>
        </w:rPr>
      </w:pP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A robust secondary market is essential for a thriving primary market. Turnover in the equity cash segment across all stock exchanges in India increased by about 5</w:t>
      </w:r>
      <w:r w:rsidR="006446D3">
        <w:rPr>
          <w:rFonts w:ascii="Palatino Linotype" w:eastAsia="Arial" w:hAnsi="Palatino Linotype" w:cs="Arial"/>
          <w:bCs/>
          <w:sz w:val="22"/>
          <w:szCs w:val="22"/>
        </w:rPr>
        <w:t xml:space="preserve"> </w:t>
      </w:r>
      <w:r w:rsidR="005B5C45">
        <w:rPr>
          <w:rFonts w:ascii="Palatino Linotype" w:eastAsia="Arial" w:hAnsi="Palatino Linotype" w:cs="Arial"/>
          <w:bCs/>
          <w:sz w:val="22"/>
          <w:szCs w:val="22"/>
        </w:rPr>
        <w:t>per cent</w:t>
      </w:r>
      <w:r w:rsidRPr="00F573F8">
        <w:rPr>
          <w:rFonts w:ascii="Palatino Linotype" w:eastAsia="Arial" w:hAnsi="Palatino Linotype" w:cs="Arial"/>
          <w:bCs/>
          <w:sz w:val="22"/>
          <w:szCs w:val="22"/>
        </w:rPr>
        <w:t xml:space="preserve"> to </w:t>
      </w:r>
      <w:r w:rsidR="006446D3" w:rsidRPr="006446D3">
        <w:rPr>
          <w:rFonts w:ascii="Rupee Foradian" w:eastAsia="Arial" w:hAnsi="Rupee Foradian" w:cs="Arial"/>
          <w:b/>
          <w:bCs/>
          <w:szCs w:val="22"/>
        </w:rPr>
        <w:t>`</w:t>
      </w:r>
      <w:r w:rsidRPr="00F573F8">
        <w:rPr>
          <w:rFonts w:ascii="Palatino Linotype" w:eastAsia="Arial" w:hAnsi="Palatino Linotype" w:cs="Arial"/>
          <w:bCs/>
          <w:sz w:val="22"/>
          <w:szCs w:val="22"/>
        </w:rPr>
        <w:t xml:space="preserve"> 87.2 lakh crore in 2018-19 from </w:t>
      </w:r>
      <w:r w:rsidR="006446D3" w:rsidRPr="006446D3">
        <w:rPr>
          <w:rFonts w:ascii="Rupee Foradian" w:eastAsia="Arial" w:hAnsi="Rupee Foradian" w:cs="Arial"/>
          <w:b/>
          <w:bCs/>
          <w:szCs w:val="22"/>
        </w:rPr>
        <w:t>`</w:t>
      </w:r>
      <w:r w:rsidRPr="00F573F8">
        <w:rPr>
          <w:rFonts w:ascii="Palatino Linotype" w:eastAsia="Arial" w:hAnsi="Palatino Linotype" w:cs="Arial"/>
          <w:bCs/>
          <w:sz w:val="22"/>
          <w:szCs w:val="22"/>
        </w:rPr>
        <w:t xml:space="preserve"> 83.2 lakh crore in the previous year.</w:t>
      </w:r>
    </w:p>
    <w:p w:rsidR="00F573F8" w:rsidRPr="00A45306"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4D5075">
        <w:rPr>
          <w:rFonts w:ascii="Palatino Linotype" w:eastAsia="Arial" w:hAnsi="Palatino Linotype" w:cs="Arial"/>
          <w:bCs/>
          <w:sz w:val="22"/>
          <w:szCs w:val="22"/>
        </w:rPr>
        <w:t>NSE ranked 2nd and BSE ranked 11th globally in terms of the number of trades in equity shares. In case of equity derivatives, NSE ranked 1st, 2nd and 8th in the world in terms of number of contracts in stock index options, single stock futures and</w:t>
      </w:r>
      <w:r w:rsidR="004D5075">
        <w:rPr>
          <w:rFonts w:ascii="Palatino Linotype" w:eastAsia="Arial" w:hAnsi="Palatino Linotype" w:cs="Arial"/>
          <w:bCs/>
          <w:sz w:val="22"/>
          <w:szCs w:val="22"/>
        </w:rPr>
        <w:t xml:space="preserve"> </w:t>
      </w:r>
      <w:r w:rsidRPr="004D5075">
        <w:rPr>
          <w:rFonts w:ascii="Palatino Linotype" w:eastAsia="Arial" w:hAnsi="Palatino Linotype" w:cs="Arial"/>
          <w:bCs/>
          <w:sz w:val="22"/>
          <w:szCs w:val="22"/>
        </w:rPr>
        <w:t>single stock options respectively.</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SEBI has taken several initiatives to rationalise and strengthen the secondary market operations, viz. inter-operability of clearing corporations, improving the risk management framework, physical settlement for single stock derivatives, review of eligibility and exit criteria of stock derivatives, measures to strengthen Algorithmic Trading and Co-location / Proximity Hosting framework, measures regarding cyber security, framework for innovation sandbox, etc.</w:t>
      </w:r>
    </w:p>
    <w:p w:rsidR="00F573F8" w:rsidRPr="004D5075" w:rsidRDefault="00F573F8" w:rsidP="00A45306">
      <w:pPr>
        <w:widowControl w:val="0"/>
        <w:spacing w:line="276" w:lineRule="auto"/>
        <w:jc w:val="both"/>
        <w:rPr>
          <w:rFonts w:ascii="Palatino Linotype" w:eastAsia="Arial" w:hAnsi="Palatino Linotype" w:cs="Arial"/>
          <w:b/>
          <w:bCs/>
          <w:sz w:val="22"/>
          <w:szCs w:val="22"/>
          <w:u w:val="single"/>
        </w:rPr>
      </w:pPr>
      <w:bookmarkStart w:id="8" w:name="page9"/>
      <w:bookmarkEnd w:id="8"/>
      <w:r w:rsidRPr="004D5075">
        <w:rPr>
          <w:rFonts w:ascii="Palatino Linotype" w:eastAsia="Arial" w:hAnsi="Palatino Linotype" w:cs="Arial"/>
          <w:b/>
          <w:bCs/>
          <w:sz w:val="22"/>
          <w:szCs w:val="22"/>
          <w:u w:val="single"/>
        </w:rPr>
        <w:t>Mutual Funds</w:t>
      </w:r>
    </w:p>
    <w:p w:rsidR="00F573F8" w:rsidRPr="00F573F8" w:rsidRDefault="00F573F8" w:rsidP="00A45306">
      <w:pPr>
        <w:widowControl w:val="0"/>
        <w:spacing w:line="276" w:lineRule="auto"/>
        <w:jc w:val="both"/>
        <w:rPr>
          <w:rFonts w:ascii="Palatino Linotype" w:hAnsi="Palatino Linotype"/>
          <w:sz w:val="22"/>
          <w:szCs w:val="22"/>
        </w:rPr>
      </w:pP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lastRenderedPageBreak/>
        <w:t xml:space="preserve">That mutual funds enjoy trust of and have caught fancy of investors is reflective in the fact that the industry AUM has increased from around </w:t>
      </w:r>
      <w:r w:rsidR="006446D3" w:rsidRPr="006446D3">
        <w:rPr>
          <w:rFonts w:ascii="Rupee Foradian" w:eastAsia="Arial" w:hAnsi="Rupee Foradian" w:cs="Arial"/>
          <w:b/>
          <w:bCs/>
          <w:szCs w:val="22"/>
        </w:rPr>
        <w:t>`</w:t>
      </w:r>
      <w:r w:rsidRPr="00F573F8">
        <w:rPr>
          <w:rFonts w:ascii="Palatino Linotype" w:eastAsia="Arial" w:hAnsi="Palatino Linotype" w:cs="Arial"/>
          <w:bCs/>
          <w:sz w:val="22"/>
          <w:szCs w:val="22"/>
        </w:rPr>
        <w:t xml:space="preserve"> 11 lakh crore four years ago to around </w:t>
      </w:r>
      <w:r w:rsidR="006446D3" w:rsidRPr="006446D3">
        <w:rPr>
          <w:rFonts w:ascii="Rupee Foradian" w:eastAsia="Arial" w:hAnsi="Rupee Foradian" w:cs="Arial"/>
          <w:b/>
          <w:bCs/>
          <w:szCs w:val="22"/>
        </w:rPr>
        <w:t>`</w:t>
      </w:r>
      <w:r w:rsidRPr="00F573F8">
        <w:rPr>
          <w:rFonts w:ascii="Palatino Linotype" w:eastAsia="Arial" w:hAnsi="Palatino Linotype" w:cs="Arial"/>
          <w:bCs/>
          <w:sz w:val="22"/>
          <w:szCs w:val="22"/>
        </w:rPr>
        <w:t xml:space="preserve"> 25 lakh crore now. Number of mutual fund folios have also doubled during the same period from around 4 crore to 8 crore.</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However, there is much scope for further growth if we compare with global markets. While the global average for industry AUM to GDP ratio is around 60</w:t>
      </w:r>
      <w:r w:rsidR="006446D3">
        <w:rPr>
          <w:rFonts w:ascii="Palatino Linotype" w:eastAsia="Arial" w:hAnsi="Palatino Linotype" w:cs="Arial"/>
          <w:bCs/>
          <w:sz w:val="22"/>
          <w:szCs w:val="22"/>
        </w:rPr>
        <w:t xml:space="preserve"> </w:t>
      </w:r>
      <w:r w:rsidR="005B5C45">
        <w:rPr>
          <w:rFonts w:ascii="Palatino Linotype" w:eastAsia="Arial" w:hAnsi="Palatino Linotype" w:cs="Arial"/>
          <w:bCs/>
          <w:sz w:val="22"/>
          <w:szCs w:val="22"/>
        </w:rPr>
        <w:t>per cent</w:t>
      </w:r>
      <w:r w:rsidRPr="00F573F8">
        <w:rPr>
          <w:rFonts w:ascii="Palatino Linotype" w:eastAsia="Arial" w:hAnsi="Palatino Linotype" w:cs="Arial"/>
          <w:bCs/>
          <w:sz w:val="22"/>
          <w:szCs w:val="22"/>
        </w:rPr>
        <w:t>, the corresponding figure for India is only 11</w:t>
      </w:r>
      <w:r w:rsidR="006446D3">
        <w:rPr>
          <w:rFonts w:ascii="Palatino Linotype" w:eastAsia="Arial" w:hAnsi="Palatino Linotype" w:cs="Arial"/>
          <w:bCs/>
          <w:sz w:val="22"/>
          <w:szCs w:val="22"/>
        </w:rPr>
        <w:t xml:space="preserve"> </w:t>
      </w:r>
      <w:r w:rsidR="005B5C45">
        <w:rPr>
          <w:rFonts w:ascii="Palatino Linotype" w:eastAsia="Arial" w:hAnsi="Palatino Linotype" w:cs="Arial"/>
          <w:bCs/>
          <w:sz w:val="22"/>
          <w:szCs w:val="22"/>
        </w:rPr>
        <w:t>per cent</w:t>
      </w:r>
      <w:r w:rsidRPr="00F573F8">
        <w:rPr>
          <w:rFonts w:ascii="Palatino Linotype" w:eastAsia="Arial" w:hAnsi="Palatino Linotype" w:cs="Arial"/>
          <w:bCs/>
          <w:sz w:val="22"/>
          <w:szCs w:val="22"/>
        </w:rPr>
        <w:t>.</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 xml:space="preserve">In the medium term, especially keeping 2025 as the target year, the outlook for Mutual Funds looks quite positive. We have been working with the industry to improve penetration to the B-30 areas, especially from the retail investors. AMFI has projected a four-fold growth in AUM over the next decade. There has to be an increased focus on penetration, targeting new set of investors, </w:t>
      </w:r>
      <w:r w:rsidR="006446D3" w:rsidRPr="00F573F8">
        <w:rPr>
          <w:rFonts w:ascii="Palatino Linotype" w:eastAsia="Arial" w:hAnsi="Palatino Linotype" w:cs="Arial"/>
          <w:bCs/>
          <w:sz w:val="22"/>
          <w:szCs w:val="22"/>
        </w:rPr>
        <w:t>self-governance</w:t>
      </w:r>
      <w:r w:rsidRPr="00F573F8">
        <w:rPr>
          <w:rFonts w:ascii="Palatino Linotype" w:eastAsia="Arial" w:hAnsi="Palatino Linotype" w:cs="Arial"/>
          <w:bCs/>
          <w:sz w:val="22"/>
          <w:szCs w:val="22"/>
        </w:rPr>
        <w:t xml:space="preserve"> and investor education &amp; awareness to achieve this.</w:t>
      </w:r>
    </w:p>
    <w:p w:rsidR="00F573F8" w:rsidRPr="00F573F8" w:rsidRDefault="00F573F8" w:rsidP="00A45306">
      <w:pPr>
        <w:widowControl w:val="0"/>
        <w:spacing w:line="276" w:lineRule="auto"/>
        <w:jc w:val="both"/>
        <w:rPr>
          <w:rFonts w:ascii="Palatino Linotype" w:hAnsi="Palatino Linotype"/>
          <w:sz w:val="22"/>
          <w:szCs w:val="22"/>
        </w:rPr>
      </w:pPr>
    </w:p>
    <w:p w:rsidR="00F573F8" w:rsidRPr="004D5075" w:rsidRDefault="00F573F8" w:rsidP="00A45306">
      <w:pPr>
        <w:widowControl w:val="0"/>
        <w:spacing w:line="276" w:lineRule="auto"/>
        <w:jc w:val="both"/>
        <w:rPr>
          <w:rFonts w:ascii="Palatino Linotype" w:eastAsia="Arial" w:hAnsi="Palatino Linotype" w:cs="Arial"/>
          <w:b/>
          <w:bCs/>
          <w:sz w:val="22"/>
          <w:szCs w:val="22"/>
          <w:u w:val="single"/>
        </w:rPr>
      </w:pPr>
      <w:r w:rsidRPr="004D5075">
        <w:rPr>
          <w:rFonts w:ascii="Palatino Linotype" w:eastAsia="Arial" w:hAnsi="Palatino Linotype" w:cs="Arial"/>
          <w:b/>
          <w:bCs/>
          <w:sz w:val="22"/>
          <w:szCs w:val="22"/>
          <w:u w:val="single"/>
        </w:rPr>
        <w:t>Alternative Investment Funds</w:t>
      </w:r>
    </w:p>
    <w:p w:rsidR="00F573F8" w:rsidRPr="00F573F8" w:rsidRDefault="00F573F8" w:rsidP="00A45306">
      <w:pPr>
        <w:widowControl w:val="0"/>
        <w:spacing w:line="276" w:lineRule="auto"/>
        <w:jc w:val="both"/>
        <w:rPr>
          <w:rFonts w:ascii="Palatino Linotype" w:hAnsi="Palatino Linotype"/>
          <w:sz w:val="22"/>
          <w:szCs w:val="22"/>
        </w:rPr>
      </w:pPr>
    </w:p>
    <w:p w:rsid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 xml:space="preserve">Another vehicle which can contribute significantly to channelizing funds of investors into the capital markets is Alternative Investment Funds, especially for sophisticated and institutional investors. AIF investments have seen a significant jump in the last few years. On a cumulative basis, the investments made by AIFs stood at </w:t>
      </w:r>
      <w:r w:rsidR="006446D3" w:rsidRPr="006446D3">
        <w:rPr>
          <w:rFonts w:ascii="Rupee Foradian" w:eastAsia="Arial" w:hAnsi="Rupee Foradian" w:cs="Arial"/>
          <w:b/>
          <w:bCs/>
          <w:szCs w:val="22"/>
        </w:rPr>
        <w:t>`</w:t>
      </w:r>
      <w:r w:rsidRPr="00F573F8">
        <w:rPr>
          <w:rFonts w:ascii="Palatino Linotype" w:eastAsia="Arial" w:hAnsi="Palatino Linotype" w:cs="Arial"/>
          <w:bCs/>
          <w:sz w:val="22"/>
          <w:szCs w:val="22"/>
        </w:rPr>
        <w:t xml:space="preserve"> 1.1 lakh crore in March 2019 vis-à-vis only around </w:t>
      </w:r>
      <w:r w:rsidR="006446D3" w:rsidRPr="006446D3">
        <w:rPr>
          <w:rFonts w:ascii="Rupee Foradian" w:eastAsia="Arial" w:hAnsi="Rupee Foradian" w:cs="Arial"/>
          <w:b/>
          <w:bCs/>
          <w:szCs w:val="22"/>
        </w:rPr>
        <w:t>`</w:t>
      </w:r>
      <w:r w:rsidRPr="00F573F8">
        <w:rPr>
          <w:rFonts w:ascii="Palatino Linotype" w:eastAsia="Arial" w:hAnsi="Palatino Linotype" w:cs="Arial"/>
          <w:bCs/>
          <w:sz w:val="22"/>
          <w:szCs w:val="22"/>
        </w:rPr>
        <w:t xml:space="preserve"> 7300 crore in March 2015.</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bookmarkStart w:id="9" w:name="page10"/>
      <w:bookmarkEnd w:id="9"/>
      <w:r w:rsidRPr="00F573F8">
        <w:rPr>
          <w:rFonts w:ascii="Palatino Linotype" w:eastAsia="Arial" w:hAnsi="Palatino Linotype" w:cs="Arial"/>
          <w:bCs/>
          <w:sz w:val="22"/>
          <w:szCs w:val="22"/>
        </w:rPr>
        <w:t>SEBI is in the process of taking steps to further strengthen the framework for AIFs in areas such as standardisation of the private placement memorandum and benchmarking framework for performance disclosures.</w:t>
      </w:r>
    </w:p>
    <w:p w:rsidR="00F573F8" w:rsidRPr="00F573F8" w:rsidRDefault="00F573F8" w:rsidP="00A45306">
      <w:pPr>
        <w:widowControl w:val="0"/>
        <w:spacing w:line="276" w:lineRule="auto"/>
        <w:jc w:val="both"/>
        <w:rPr>
          <w:rFonts w:ascii="Palatino Linotype" w:hAnsi="Palatino Linotype"/>
          <w:sz w:val="22"/>
          <w:szCs w:val="22"/>
        </w:rPr>
      </w:pPr>
    </w:p>
    <w:p w:rsidR="00F573F8" w:rsidRPr="00EB52C5" w:rsidRDefault="00F573F8" w:rsidP="00A45306">
      <w:pPr>
        <w:widowControl w:val="0"/>
        <w:spacing w:line="276" w:lineRule="auto"/>
        <w:jc w:val="both"/>
        <w:rPr>
          <w:rFonts w:ascii="Palatino Linotype" w:hAnsi="Palatino Linotype"/>
          <w:b/>
          <w:sz w:val="22"/>
          <w:szCs w:val="22"/>
        </w:rPr>
      </w:pPr>
      <w:r w:rsidRPr="00EB52C5">
        <w:rPr>
          <w:rFonts w:ascii="Palatino Linotype" w:eastAsia="Arial" w:hAnsi="Palatino Linotype" w:cs="Arial"/>
          <w:b/>
          <w:bCs/>
          <w:sz w:val="22"/>
          <w:szCs w:val="22"/>
          <w:u w:val="single"/>
        </w:rPr>
        <w:t>D. Conclusion</w:t>
      </w:r>
    </w:p>
    <w:p w:rsidR="00F573F8" w:rsidRPr="00F573F8" w:rsidRDefault="00F573F8" w:rsidP="00A45306">
      <w:pPr>
        <w:widowControl w:val="0"/>
        <w:spacing w:line="276" w:lineRule="auto"/>
        <w:jc w:val="both"/>
        <w:rPr>
          <w:rFonts w:ascii="Palatino Linotype" w:hAnsi="Palatino Linotype"/>
          <w:sz w:val="22"/>
          <w:szCs w:val="22"/>
        </w:rPr>
      </w:pP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To conclude, equities market in India is world class in terms of regulatory framework for primary as well as secondary markets, trading volumes, depth and liquidity. This market is fully geared for meeting the requirements of 5 trillion economy.</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Measures have been taken for development of corporate bond market. While private placement issuances have seen a rise in the last few years, the secondary market in terms of trading and liquidity is yet to develop. Clearly, much more needs to be done.</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Increasing the share of private sector investment in infrastructure projects, especially green field projects, is challenging. REITs, InvITs, as vehicles for takeout financing, are likely to gain more and more importance.</w:t>
      </w:r>
    </w:p>
    <w:p w:rsidR="00F573F8" w:rsidRPr="00F573F8" w:rsidRDefault="00F573F8" w:rsidP="00A45306">
      <w:pPr>
        <w:pStyle w:val="ListParagraph"/>
        <w:widowControl w:val="0"/>
        <w:numPr>
          <w:ilvl w:val="0"/>
          <w:numId w:val="22"/>
        </w:numPr>
        <w:tabs>
          <w:tab w:val="left" w:pos="660"/>
        </w:tabs>
        <w:ind w:left="360"/>
        <w:jc w:val="both"/>
        <w:rPr>
          <w:rFonts w:ascii="Palatino Linotype" w:eastAsia="Arial" w:hAnsi="Palatino Linotype" w:cs="Arial"/>
          <w:bCs/>
          <w:sz w:val="22"/>
          <w:szCs w:val="22"/>
        </w:rPr>
      </w:pPr>
      <w:r w:rsidRPr="00F573F8">
        <w:rPr>
          <w:rFonts w:ascii="Palatino Linotype" w:eastAsia="Arial" w:hAnsi="Palatino Linotype" w:cs="Arial"/>
          <w:bCs/>
          <w:sz w:val="22"/>
          <w:szCs w:val="22"/>
        </w:rPr>
        <w:t>Mutual funds, Insurance funds, Pension funds and AIFs, supplemented by foreign investment, would provide significant pools of funds for the projected 5 trillion economy.</w:t>
      </w:r>
    </w:p>
    <w:p w:rsidR="00F573F8" w:rsidRDefault="00F573F8" w:rsidP="00A45306">
      <w:pPr>
        <w:widowControl w:val="0"/>
        <w:spacing w:line="276" w:lineRule="auto"/>
        <w:jc w:val="both"/>
        <w:rPr>
          <w:sz w:val="20"/>
          <w:szCs w:val="20"/>
        </w:rPr>
      </w:pPr>
    </w:p>
    <w:p w:rsidR="000254CD" w:rsidRDefault="000254CD" w:rsidP="00A45306">
      <w:pPr>
        <w:widowControl w:val="0"/>
        <w:tabs>
          <w:tab w:val="left" w:pos="360"/>
        </w:tabs>
        <w:spacing w:line="276" w:lineRule="auto"/>
        <w:jc w:val="both"/>
        <w:rPr>
          <w:rFonts w:ascii="Palatino Linotype" w:eastAsia="Times New Roman" w:hAnsi="Palatino Linotype"/>
          <w:sz w:val="22"/>
          <w:szCs w:val="22"/>
        </w:rPr>
      </w:pPr>
    </w:p>
    <w:p w:rsidR="000254CD" w:rsidRPr="003C03E0" w:rsidRDefault="003C03E0" w:rsidP="00EB52C5">
      <w:pPr>
        <w:widowControl w:val="0"/>
        <w:tabs>
          <w:tab w:val="left" w:pos="360"/>
        </w:tabs>
        <w:spacing w:line="276" w:lineRule="auto"/>
        <w:jc w:val="center"/>
        <w:rPr>
          <w:rFonts w:ascii="Palatino Linotype" w:eastAsia="Times New Roman" w:hAnsi="Palatino Linotype"/>
          <w:sz w:val="22"/>
          <w:szCs w:val="22"/>
        </w:rPr>
      </w:pPr>
      <w:r w:rsidRPr="003C03E0">
        <w:rPr>
          <w:rFonts w:ascii="Palatino Linotype" w:hAnsi="Palatino Linotype" w:cs="Arial"/>
          <w:sz w:val="22"/>
          <w:szCs w:val="22"/>
          <w:shd w:val="clear" w:color="auto" w:fill="FFFFFF"/>
        </w:rPr>
        <w:t>I convey my best wishes for the event. Thank you.</w:t>
      </w:r>
    </w:p>
    <w:p w:rsidR="000254CD" w:rsidRDefault="000254CD" w:rsidP="000254CD">
      <w:pPr>
        <w:tabs>
          <w:tab w:val="left" w:pos="360"/>
        </w:tabs>
        <w:jc w:val="both"/>
        <w:rPr>
          <w:rFonts w:ascii="Palatino Linotype" w:eastAsia="Times New Roman" w:hAnsi="Palatino Linotype"/>
          <w:sz w:val="22"/>
          <w:szCs w:val="22"/>
        </w:rPr>
      </w:pPr>
    </w:p>
    <w:p w:rsidR="000254CD" w:rsidRDefault="000254CD" w:rsidP="000254CD">
      <w:pPr>
        <w:tabs>
          <w:tab w:val="left" w:pos="360"/>
        </w:tabs>
        <w:jc w:val="both"/>
        <w:rPr>
          <w:rFonts w:ascii="Palatino Linotype" w:eastAsia="Times New Roman" w:hAnsi="Palatino Linotype"/>
          <w:sz w:val="22"/>
          <w:szCs w:val="22"/>
        </w:rPr>
      </w:pPr>
    </w:p>
    <w:p w:rsidR="00EB52C5" w:rsidRDefault="00EB52C5" w:rsidP="000254CD">
      <w:pPr>
        <w:tabs>
          <w:tab w:val="left" w:pos="360"/>
        </w:tabs>
        <w:jc w:val="both"/>
        <w:rPr>
          <w:rFonts w:ascii="Palatino Linotype" w:eastAsia="Times New Roman" w:hAnsi="Palatino Linotype"/>
          <w:sz w:val="22"/>
          <w:szCs w:val="22"/>
        </w:rPr>
      </w:pPr>
    </w:p>
    <w:p w:rsidR="006446D3" w:rsidRDefault="006446D3" w:rsidP="000254CD">
      <w:pPr>
        <w:tabs>
          <w:tab w:val="left" w:pos="360"/>
        </w:tabs>
        <w:jc w:val="both"/>
        <w:rPr>
          <w:rFonts w:ascii="Palatino Linotype" w:eastAsia="Times New Roman" w:hAnsi="Palatino Linotype"/>
          <w:sz w:val="22"/>
          <w:szCs w:val="22"/>
        </w:rPr>
      </w:pPr>
    </w:p>
    <w:p w:rsidR="00A25620" w:rsidRDefault="00A25620" w:rsidP="00D32A6A">
      <w:pPr>
        <w:spacing w:line="0" w:lineRule="atLeast"/>
        <w:jc w:val="center"/>
        <w:rPr>
          <w:rFonts w:ascii="Palatino Linotype" w:eastAsia="Times New Roman" w:hAnsi="Palatino Linotype"/>
          <w:b/>
          <w:sz w:val="22"/>
          <w:szCs w:val="22"/>
          <w:lang w:val="en-US"/>
        </w:rPr>
      </w:pPr>
      <w:bookmarkStart w:id="10" w:name="page1"/>
      <w:bookmarkEnd w:id="10"/>
      <w:r w:rsidRPr="00A25620">
        <w:rPr>
          <w:rFonts w:ascii="Palatino Linotype" w:eastAsia="Times New Roman" w:hAnsi="Palatino Linotype"/>
          <w:b/>
          <w:sz w:val="22"/>
          <w:szCs w:val="22"/>
          <w:lang w:val="en-US"/>
        </w:rPr>
        <w:t xml:space="preserve">Corporate Bond Market </w:t>
      </w:r>
    </w:p>
    <w:p w:rsidR="003C03E0" w:rsidRDefault="00F56183" w:rsidP="00D32A6A">
      <w:pPr>
        <w:spacing w:line="0" w:lineRule="atLeast"/>
        <w:jc w:val="center"/>
        <w:rPr>
          <w:rFonts w:ascii="Palatino Linotype" w:eastAsia="Times New Roman" w:hAnsi="Palatino Linotype"/>
          <w:b/>
          <w:sz w:val="22"/>
          <w:szCs w:val="22"/>
          <w:lang w:val="en-US"/>
        </w:rPr>
      </w:pPr>
      <w:r w:rsidRPr="00A02D52">
        <w:rPr>
          <w:rFonts w:ascii="Palatino Linotype" w:eastAsia="Times New Roman" w:hAnsi="Palatino Linotype"/>
          <w:b/>
          <w:sz w:val="22"/>
          <w:szCs w:val="22"/>
          <w:lang w:val="en-US"/>
        </w:rPr>
        <w:t>Shr</w:t>
      </w:r>
      <w:r>
        <w:rPr>
          <w:rFonts w:ascii="Palatino Linotype" w:eastAsia="Times New Roman" w:hAnsi="Palatino Linotype"/>
          <w:b/>
          <w:sz w:val="22"/>
          <w:szCs w:val="22"/>
          <w:lang w:val="en-US"/>
        </w:rPr>
        <w:t>i Ajay Tyagi, Chairman, SEBI</w:t>
      </w:r>
      <w:r w:rsidR="003C03E0">
        <w:rPr>
          <w:rStyle w:val="FootnoteReference"/>
          <w:rFonts w:ascii="Palatino Linotype" w:eastAsia="Times New Roman" w:hAnsi="Palatino Linotype"/>
          <w:b/>
          <w:sz w:val="22"/>
          <w:szCs w:val="22"/>
          <w:lang w:val="en-US"/>
        </w:rPr>
        <w:footnoteReference w:id="2"/>
      </w:r>
    </w:p>
    <w:p w:rsidR="003C03E0" w:rsidRDefault="003C03E0" w:rsidP="00D32A6A">
      <w:pPr>
        <w:spacing w:line="0" w:lineRule="atLeast"/>
        <w:jc w:val="center"/>
        <w:rPr>
          <w:rFonts w:ascii="Palatino Linotype" w:eastAsia="Times New Roman" w:hAnsi="Palatino Linotype"/>
          <w:b/>
          <w:sz w:val="22"/>
          <w:szCs w:val="22"/>
          <w:lang w:val="en-US"/>
        </w:rPr>
      </w:pPr>
    </w:p>
    <w:p w:rsidR="005C5499" w:rsidRPr="00A02D52" w:rsidRDefault="005C5499" w:rsidP="00A02D52">
      <w:pPr>
        <w:spacing w:line="20" w:lineRule="exact"/>
        <w:jc w:val="both"/>
        <w:rPr>
          <w:rFonts w:ascii="Palatino Linotype" w:eastAsia="Times New Roman" w:hAnsi="Palatino Linotype"/>
          <w:sz w:val="22"/>
          <w:szCs w:val="22"/>
        </w:rPr>
      </w:pPr>
    </w:p>
    <w:p w:rsidR="005C5499" w:rsidRPr="00A02D52" w:rsidRDefault="005C5499" w:rsidP="00A02D52">
      <w:pPr>
        <w:spacing w:line="263" w:lineRule="exact"/>
        <w:jc w:val="both"/>
        <w:rPr>
          <w:rFonts w:ascii="Palatino Linotype" w:eastAsia="Times New Roman" w:hAnsi="Palatino Linotype"/>
          <w:sz w:val="22"/>
          <w:szCs w:val="22"/>
        </w:rPr>
      </w:pP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Ladies and Gentlemen, it is my pleasure to be addressing and sharing with you today my perspective on the Indian corporate bond market. I would like to thank ASSOCHAM for inviting me to this Conference. </w:t>
      </w: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Let me start by quoting what James Carville, a prominent political advisor to Bill Clinton, once said about the relevance of bond market - </w:t>
      </w:r>
      <w:r w:rsidRPr="00A25620">
        <w:rPr>
          <w:rFonts w:ascii="Palatino Linotype" w:hAnsi="Palatino Linotype"/>
          <w:i/>
          <w:iCs/>
          <w:color w:val="auto"/>
          <w:sz w:val="22"/>
          <w:szCs w:val="22"/>
        </w:rPr>
        <w:t xml:space="preserve">“I used to think that if there was reincarnation, I wanted to come back as the President or the Pope. But now I would like to come back as the bond market. You can intimidate everybody.” </w:t>
      </w: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Policymakers in India are also getting cognizant of the growing importance and relevance of corporate bond market and taking measures in the last few years for its deepening; though, as compared to advanced economies, the bond market here is yet to grow to a consequential size. </w:t>
      </w:r>
    </w:p>
    <w:p w:rsid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In my address today, I will be sharing with you my thoughts on the significance of corporate bond market in the financial system; current state of affairs and the vision for the future development of bond market in India. </w:t>
      </w:r>
    </w:p>
    <w:p w:rsidR="00EB52C5" w:rsidRPr="00A25620" w:rsidRDefault="00EB52C5" w:rsidP="002E18B1">
      <w:pPr>
        <w:pStyle w:val="Default"/>
        <w:widowControl w:val="0"/>
        <w:spacing w:line="276" w:lineRule="auto"/>
        <w:jc w:val="both"/>
        <w:rPr>
          <w:rFonts w:ascii="Palatino Linotype" w:hAnsi="Palatino Linotype"/>
          <w:color w:val="auto"/>
          <w:sz w:val="22"/>
          <w:szCs w:val="22"/>
        </w:rPr>
      </w:pPr>
    </w:p>
    <w:p w:rsidR="00A25620" w:rsidRDefault="00A25620" w:rsidP="00EB52C5">
      <w:pPr>
        <w:pStyle w:val="Default"/>
        <w:widowControl w:val="0"/>
        <w:numPr>
          <w:ilvl w:val="1"/>
          <w:numId w:val="18"/>
        </w:numPr>
        <w:spacing w:line="276" w:lineRule="auto"/>
        <w:jc w:val="both"/>
        <w:rPr>
          <w:rFonts w:ascii="Palatino Linotype" w:hAnsi="Palatino Linotype"/>
          <w:b/>
          <w:bCs/>
          <w:color w:val="auto"/>
          <w:sz w:val="22"/>
          <w:szCs w:val="22"/>
        </w:rPr>
      </w:pPr>
      <w:r w:rsidRPr="00A25620">
        <w:rPr>
          <w:rFonts w:ascii="Palatino Linotype" w:hAnsi="Palatino Linotype"/>
          <w:b/>
          <w:bCs/>
          <w:color w:val="auto"/>
          <w:sz w:val="22"/>
          <w:szCs w:val="22"/>
        </w:rPr>
        <w:t xml:space="preserve">Significance of Corporate Bond Market </w:t>
      </w:r>
    </w:p>
    <w:p w:rsidR="00EB52C5" w:rsidRPr="00A25620" w:rsidRDefault="00EB52C5" w:rsidP="00EB52C5">
      <w:pPr>
        <w:pStyle w:val="Default"/>
        <w:widowControl w:val="0"/>
        <w:spacing w:line="276" w:lineRule="auto"/>
        <w:jc w:val="both"/>
        <w:rPr>
          <w:rFonts w:ascii="Palatino Linotype" w:hAnsi="Palatino Linotype"/>
          <w:color w:val="auto"/>
          <w:sz w:val="22"/>
          <w:szCs w:val="22"/>
        </w:rPr>
      </w:pPr>
    </w:p>
    <w:p w:rsid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5. Corporate bond market is a disclosure-driven one. Issuers have to make timely disclosures of all material information. Even a one-day default by an issuer gets disclosed. This market discipline that is imposed on the issuer is not available in case of bank financing. Corporate bond market, thus, provides timely information about the financial health and creditworthiness of an issuer. This in turn acts as a good ‘signaling indicator’ for all participants in the economy. </w:t>
      </w:r>
    </w:p>
    <w:p w:rsidR="003745A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Signals emanating from real time repricing of new information on corporate bonds, helps, to a large extent, in identifying potential vulnerabilities in various segments of the economy. Mark to market requirement on bonds alert and caution investors on the emerging credit worthiness of a borrower. This helps investors in taking timely risk management measures. </w:t>
      </w:r>
    </w:p>
    <w:p w:rsid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Apart from its role as an important means of financing corporate investments, the significance of the corporate bond market lies in its transparency, responsiveness to credit events and thus, contributing to financial stability. </w:t>
      </w:r>
    </w:p>
    <w:p w:rsidR="00EB52C5" w:rsidRPr="00A25620" w:rsidRDefault="00EB52C5" w:rsidP="00EB52C5">
      <w:pPr>
        <w:pStyle w:val="Default"/>
        <w:widowControl w:val="0"/>
        <w:spacing w:line="276" w:lineRule="auto"/>
        <w:ind w:left="360"/>
        <w:jc w:val="both"/>
        <w:rPr>
          <w:rFonts w:ascii="Palatino Linotype" w:hAnsi="Palatino Linotype"/>
          <w:color w:val="auto"/>
          <w:sz w:val="22"/>
          <w:szCs w:val="22"/>
        </w:rPr>
      </w:pPr>
    </w:p>
    <w:p w:rsidR="00EB52C5" w:rsidRPr="00EB52C5" w:rsidRDefault="00A25620" w:rsidP="00EB52C5">
      <w:pPr>
        <w:pStyle w:val="Default"/>
        <w:widowControl w:val="0"/>
        <w:numPr>
          <w:ilvl w:val="1"/>
          <w:numId w:val="18"/>
        </w:numPr>
        <w:spacing w:line="276" w:lineRule="auto"/>
        <w:jc w:val="both"/>
        <w:rPr>
          <w:rFonts w:ascii="Palatino Linotype" w:hAnsi="Palatino Linotype"/>
          <w:b/>
          <w:bCs/>
          <w:color w:val="auto"/>
          <w:sz w:val="22"/>
          <w:szCs w:val="22"/>
        </w:rPr>
      </w:pPr>
      <w:r w:rsidRPr="00A25620">
        <w:rPr>
          <w:rFonts w:ascii="Palatino Linotype" w:hAnsi="Palatino Linotype"/>
          <w:b/>
          <w:bCs/>
          <w:color w:val="auto"/>
          <w:sz w:val="22"/>
          <w:szCs w:val="22"/>
        </w:rPr>
        <w:t xml:space="preserve">Corporate Bond market - Present State </w:t>
      </w:r>
    </w:p>
    <w:p w:rsidR="00EB52C5" w:rsidRDefault="00EB52C5" w:rsidP="002E18B1">
      <w:pPr>
        <w:pStyle w:val="Default"/>
        <w:widowControl w:val="0"/>
        <w:spacing w:line="276" w:lineRule="auto"/>
        <w:jc w:val="both"/>
        <w:rPr>
          <w:rFonts w:ascii="Palatino Linotype" w:hAnsi="Palatino Linotype"/>
          <w:color w:val="auto"/>
          <w:sz w:val="22"/>
          <w:szCs w:val="22"/>
        </w:rPr>
      </w:pP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Against this backdrop, let me now dwell upon the current state of the corporate bond market in India. </w:t>
      </w: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Funds raised from corporate bonds, which were around 3.7 trillion rupees during 2012-13, increased to 6.5 trillion rupees during 2018-19. Outstanding corporate bonds as a percentage of </w:t>
      </w:r>
      <w:r w:rsidRPr="00A25620">
        <w:rPr>
          <w:rFonts w:ascii="Palatino Linotype" w:hAnsi="Palatino Linotype"/>
          <w:color w:val="auto"/>
          <w:sz w:val="22"/>
          <w:szCs w:val="22"/>
        </w:rPr>
        <w:lastRenderedPageBreak/>
        <w:t xml:space="preserve">GDP moved up from 13 </w:t>
      </w:r>
      <w:r w:rsidR="005B5C45">
        <w:rPr>
          <w:rFonts w:ascii="Palatino Linotype" w:hAnsi="Palatino Linotype"/>
          <w:color w:val="auto"/>
          <w:sz w:val="22"/>
          <w:szCs w:val="22"/>
        </w:rPr>
        <w:t>per cent</w:t>
      </w:r>
      <w:r w:rsidRPr="00A25620">
        <w:rPr>
          <w:rFonts w:ascii="Palatino Linotype" w:hAnsi="Palatino Linotype"/>
          <w:color w:val="auto"/>
          <w:sz w:val="22"/>
          <w:szCs w:val="22"/>
        </w:rPr>
        <w:t xml:space="preserve"> in 2012-13 to 16.3 </w:t>
      </w:r>
      <w:r w:rsidR="005B5C45">
        <w:rPr>
          <w:rFonts w:ascii="Palatino Linotype" w:hAnsi="Palatino Linotype"/>
          <w:color w:val="auto"/>
          <w:sz w:val="22"/>
          <w:szCs w:val="22"/>
        </w:rPr>
        <w:t>per cent</w:t>
      </w:r>
      <w:r w:rsidRPr="00A25620">
        <w:rPr>
          <w:rFonts w:ascii="Palatino Linotype" w:hAnsi="Palatino Linotype"/>
          <w:color w:val="auto"/>
          <w:sz w:val="22"/>
          <w:szCs w:val="22"/>
        </w:rPr>
        <w:t xml:space="preserve"> in 2018-19. </w:t>
      </w: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This trend indicates that the corporate bond market in India has gained significant traction over the years. It is important, however, to note that corporate bond issuances have remained flat, during the last three years, at an average of approximately 6.4 trillion rupees. </w:t>
      </w:r>
    </w:p>
    <w:p w:rsidR="002E18B1" w:rsidRPr="00EB52C5"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Another means of financing corporate investment i.e. credit disbursed by banks, declined from more than 13 trillion rupees during 2012-13 to around 11 trillion rupees in 2018-19. This decline in bank credit, inter-alia, may have been as a result of measures such as asset quality review framework and related provisioning norms for banks which were ushered in towards the later part of 2015. </w:t>
      </w: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The plateauing of corporate bond issuances and declining bank credit disbursements by banks are inextricably linked to the decline in corporate private investments, resulting in sluggish growth seen in various sectors of the economy. </w:t>
      </w: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For the economy to move to the next level of growth trajectory, it is essential that all means of financing corporate investments, including corporate bond issuances, fire on all cylinders. </w:t>
      </w:r>
    </w:p>
    <w:p w:rsid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Taking into account the NPA problems of banks and inherent asset - liability mismatch problem restricting their capabilities to fund long term projects, it is but obvious that the corporate bond market has to play an increasing significant role in supporting India’s growth story. </w:t>
      </w:r>
    </w:p>
    <w:p w:rsidR="00EB52C5" w:rsidRPr="00A25620" w:rsidRDefault="00EB52C5" w:rsidP="00EB52C5">
      <w:pPr>
        <w:pStyle w:val="Default"/>
        <w:widowControl w:val="0"/>
        <w:spacing w:line="276" w:lineRule="auto"/>
        <w:ind w:left="360"/>
        <w:jc w:val="both"/>
        <w:rPr>
          <w:rFonts w:ascii="Palatino Linotype" w:hAnsi="Palatino Linotype"/>
          <w:color w:val="auto"/>
          <w:sz w:val="22"/>
          <w:szCs w:val="22"/>
        </w:rPr>
      </w:pPr>
    </w:p>
    <w:p w:rsidR="00A25620" w:rsidRPr="00EB52C5" w:rsidRDefault="00A25620" w:rsidP="00EB52C5">
      <w:pPr>
        <w:pStyle w:val="Default"/>
        <w:widowControl w:val="0"/>
        <w:numPr>
          <w:ilvl w:val="1"/>
          <w:numId w:val="18"/>
        </w:numPr>
        <w:spacing w:line="276" w:lineRule="auto"/>
        <w:jc w:val="both"/>
        <w:rPr>
          <w:rFonts w:ascii="Palatino Linotype" w:hAnsi="Palatino Linotype"/>
          <w:b/>
          <w:bCs/>
          <w:color w:val="auto"/>
          <w:sz w:val="22"/>
          <w:szCs w:val="22"/>
        </w:rPr>
      </w:pPr>
      <w:r w:rsidRPr="00A25620">
        <w:rPr>
          <w:rFonts w:ascii="Palatino Linotype" w:hAnsi="Palatino Linotype"/>
          <w:b/>
          <w:bCs/>
          <w:color w:val="auto"/>
          <w:sz w:val="22"/>
          <w:szCs w:val="22"/>
        </w:rPr>
        <w:t xml:space="preserve">Challenges and likely Policy Prescriptions </w:t>
      </w:r>
    </w:p>
    <w:p w:rsidR="00EB52C5" w:rsidRDefault="00EB52C5" w:rsidP="002E18B1">
      <w:pPr>
        <w:pStyle w:val="Default"/>
        <w:widowControl w:val="0"/>
        <w:spacing w:line="276" w:lineRule="auto"/>
        <w:jc w:val="both"/>
        <w:rPr>
          <w:rFonts w:ascii="Palatino Linotype" w:hAnsi="Palatino Linotype"/>
          <w:color w:val="auto"/>
          <w:sz w:val="22"/>
          <w:szCs w:val="22"/>
        </w:rPr>
      </w:pP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To achieve this, inherent challenges in the corporate bond market need to be addressed. I will share with you some of these challenges and my policy prescription for them. </w:t>
      </w:r>
    </w:p>
    <w:p w:rsidR="00A25620" w:rsidRPr="00A25620" w:rsidRDefault="00A25620" w:rsidP="002E18B1">
      <w:pPr>
        <w:pStyle w:val="Default"/>
        <w:widowControl w:val="0"/>
        <w:spacing w:line="276" w:lineRule="auto"/>
        <w:jc w:val="both"/>
        <w:rPr>
          <w:rFonts w:ascii="Palatino Linotype" w:hAnsi="Palatino Linotype"/>
          <w:color w:val="auto"/>
          <w:sz w:val="22"/>
          <w:szCs w:val="22"/>
        </w:rPr>
      </w:pPr>
    </w:p>
    <w:p w:rsidR="00A25620" w:rsidRDefault="00A25620" w:rsidP="002E18B1">
      <w:pPr>
        <w:pStyle w:val="Default"/>
        <w:widowControl w:val="0"/>
        <w:spacing w:line="276" w:lineRule="auto"/>
        <w:jc w:val="both"/>
        <w:rPr>
          <w:rFonts w:ascii="Palatino Linotype" w:hAnsi="Palatino Linotype"/>
          <w:b/>
          <w:bCs/>
          <w:color w:val="auto"/>
          <w:sz w:val="22"/>
          <w:szCs w:val="22"/>
        </w:rPr>
      </w:pPr>
      <w:r w:rsidRPr="00A25620">
        <w:rPr>
          <w:rFonts w:ascii="Palatino Linotype" w:hAnsi="Palatino Linotype"/>
          <w:b/>
          <w:bCs/>
          <w:color w:val="auto"/>
          <w:sz w:val="22"/>
          <w:szCs w:val="22"/>
        </w:rPr>
        <w:t xml:space="preserve">Fragmented Yield Curve </w:t>
      </w:r>
    </w:p>
    <w:p w:rsidR="002E18B1" w:rsidRPr="00A25620" w:rsidRDefault="002E18B1" w:rsidP="002E18B1">
      <w:pPr>
        <w:pStyle w:val="Default"/>
        <w:widowControl w:val="0"/>
        <w:spacing w:line="276" w:lineRule="auto"/>
        <w:jc w:val="both"/>
        <w:rPr>
          <w:rFonts w:ascii="Palatino Linotype" w:hAnsi="Palatino Linotype"/>
          <w:color w:val="auto"/>
          <w:sz w:val="22"/>
          <w:szCs w:val="22"/>
        </w:rPr>
      </w:pPr>
    </w:p>
    <w:p w:rsid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The fundamental challenge, in my judgment, is the absence of a continuous corporate bond yield curve spanning across different maturities and across different rating buckets. For instance, primary issuances and trading are majorly concentrated in 10 years and 3-5 years bucket. Longer end of the yield curve is predominantly dominated by debt papers of PSUs, FIs and select HFCs. Shorter end is dominated by NBFCs. As regards rating buckets, approximately 90 </w:t>
      </w:r>
      <w:r w:rsidR="005B5C45">
        <w:rPr>
          <w:rFonts w:ascii="Palatino Linotype" w:hAnsi="Palatino Linotype"/>
          <w:color w:val="auto"/>
          <w:sz w:val="22"/>
          <w:szCs w:val="22"/>
        </w:rPr>
        <w:t>per cent</w:t>
      </w:r>
      <w:r w:rsidRPr="00A25620">
        <w:rPr>
          <w:rFonts w:ascii="Palatino Linotype" w:hAnsi="Palatino Linotype"/>
          <w:color w:val="auto"/>
          <w:sz w:val="22"/>
          <w:szCs w:val="22"/>
        </w:rPr>
        <w:t xml:space="preserve"> of the papers are ‘AA and above’ rated. </w:t>
      </w: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While I will discuss the measures to address the twin problems of concentration of maturity and rating buckets, let me first emphasize the importance of having a continuous government bond yield curve for the development of the corporate bond market. </w:t>
      </w: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As we all know, a corporate bond is generally priced on the basis of price of G-Sec of comparable tenure. In other words, price of G-Sec is the base on which the spread of a corporate bond gets determined. </w:t>
      </w:r>
    </w:p>
    <w:p w:rsidR="00A25620" w:rsidRPr="00A25620" w:rsidRDefault="00A25620" w:rsidP="002E18B1">
      <w:pPr>
        <w:pStyle w:val="Default"/>
        <w:widowControl w:val="0"/>
        <w:spacing w:line="276" w:lineRule="auto"/>
        <w:jc w:val="both"/>
        <w:rPr>
          <w:rFonts w:ascii="Palatino Linotype" w:hAnsi="Palatino Linotype"/>
          <w:color w:val="auto"/>
          <w:sz w:val="22"/>
          <w:szCs w:val="22"/>
        </w:rPr>
      </w:pPr>
    </w:p>
    <w:p w:rsidR="00A25620" w:rsidRDefault="00A25620" w:rsidP="002E18B1">
      <w:pPr>
        <w:pStyle w:val="Default"/>
        <w:widowControl w:val="0"/>
        <w:spacing w:line="276" w:lineRule="auto"/>
        <w:jc w:val="both"/>
        <w:rPr>
          <w:rFonts w:ascii="Palatino Linotype" w:hAnsi="Palatino Linotype"/>
          <w:b/>
          <w:bCs/>
          <w:color w:val="auto"/>
          <w:sz w:val="22"/>
          <w:szCs w:val="22"/>
        </w:rPr>
      </w:pPr>
      <w:r w:rsidRPr="00A25620">
        <w:rPr>
          <w:rFonts w:ascii="Palatino Linotype" w:hAnsi="Palatino Linotype"/>
          <w:b/>
          <w:bCs/>
          <w:color w:val="auto"/>
          <w:sz w:val="22"/>
          <w:szCs w:val="22"/>
        </w:rPr>
        <w:t xml:space="preserve">Unification of Bond Markets </w:t>
      </w:r>
    </w:p>
    <w:p w:rsidR="002E18B1" w:rsidRPr="00A25620" w:rsidRDefault="002E18B1" w:rsidP="002E18B1">
      <w:pPr>
        <w:pStyle w:val="Default"/>
        <w:widowControl w:val="0"/>
        <w:spacing w:line="276" w:lineRule="auto"/>
        <w:jc w:val="both"/>
        <w:rPr>
          <w:rFonts w:ascii="Palatino Linotype" w:hAnsi="Palatino Linotype"/>
          <w:color w:val="auto"/>
          <w:sz w:val="22"/>
          <w:szCs w:val="22"/>
        </w:rPr>
      </w:pP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Naturally, therefore, it is important for us to have a robust, continuous G-Sec Yield Curve. Unfortunately, however, we do not have the benefit of such a benchmark yield curve. Most of the G-Sec issuances and concomitant liquidity are concentrated in only few maturity buckets. </w:t>
      </w: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lastRenderedPageBreak/>
        <w:t xml:space="preserve">There is a need for seamless transmission of information from G-sec to the corporate bond market. One of the ways to achieve this could be through unification of the G-Sec and the corporate bond market, wherein trading, clearing and settlement takes place on one platform, backed up by an eco-system that provides for seamless transfer of G-Sec and corporate bond holdings. </w:t>
      </w:r>
    </w:p>
    <w:p w:rsidR="002E18B1"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In addition to unification of the bond market, another desired goal should be to encourage retail participation in G-sec. The announcement made by the Hon’ble Finance Minister in this year’s Budget, relating to inter-operability of RBI depositories and SEBI depositories, would facilitate this. </w:t>
      </w:r>
    </w:p>
    <w:p w:rsidR="002E18B1" w:rsidRDefault="002E18B1" w:rsidP="002E18B1">
      <w:pPr>
        <w:pStyle w:val="Default"/>
        <w:widowControl w:val="0"/>
        <w:spacing w:line="276" w:lineRule="auto"/>
        <w:jc w:val="both"/>
        <w:rPr>
          <w:rFonts w:ascii="Palatino Linotype" w:hAnsi="Palatino Linotype"/>
          <w:color w:val="auto"/>
          <w:sz w:val="22"/>
          <w:szCs w:val="22"/>
        </w:rPr>
      </w:pPr>
    </w:p>
    <w:p w:rsidR="00A25620" w:rsidRDefault="00A25620" w:rsidP="002E18B1">
      <w:pPr>
        <w:pStyle w:val="Default"/>
        <w:widowControl w:val="0"/>
        <w:spacing w:line="276" w:lineRule="auto"/>
        <w:jc w:val="both"/>
        <w:rPr>
          <w:rFonts w:ascii="Palatino Linotype" w:hAnsi="Palatino Linotype"/>
          <w:b/>
          <w:bCs/>
          <w:color w:val="auto"/>
          <w:sz w:val="22"/>
          <w:szCs w:val="22"/>
        </w:rPr>
      </w:pPr>
      <w:r w:rsidRPr="00A25620">
        <w:rPr>
          <w:rFonts w:ascii="Palatino Linotype" w:hAnsi="Palatino Linotype"/>
          <w:b/>
          <w:bCs/>
          <w:color w:val="auto"/>
          <w:sz w:val="22"/>
          <w:szCs w:val="22"/>
        </w:rPr>
        <w:t xml:space="preserve">Enhancing Liquidity </w:t>
      </w:r>
    </w:p>
    <w:p w:rsidR="002E18B1" w:rsidRPr="00A25620" w:rsidRDefault="002E18B1" w:rsidP="002E18B1">
      <w:pPr>
        <w:pStyle w:val="Default"/>
        <w:widowControl w:val="0"/>
        <w:spacing w:line="276" w:lineRule="auto"/>
        <w:jc w:val="both"/>
        <w:rPr>
          <w:rFonts w:ascii="Palatino Linotype" w:hAnsi="Palatino Linotype"/>
          <w:color w:val="auto"/>
          <w:sz w:val="22"/>
          <w:szCs w:val="22"/>
        </w:rPr>
      </w:pP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Robust price discovery in corporate bonds remains a challenge, even internationally. Based on reported trading, USA seems to be a positive outlier, with daily trades as a percentage of corporate bond outstanding at 1.06</w:t>
      </w:r>
      <w:r w:rsidR="005B5C45">
        <w:rPr>
          <w:rFonts w:ascii="Palatino Linotype" w:hAnsi="Palatino Linotype"/>
          <w:color w:val="auto"/>
          <w:sz w:val="22"/>
          <w:szCs w:val="22"/>
        </w:rPr>
        <w:t xml:space="preserve"> per cent</w:t>
      </w:r>
      <w:r w:rsidRPr="00A25620">
        <w:rPr>
          <w:rFonts w:ascii="Palatino Linotype" w:hAnsi="Palatino Linotype"/>
          <w:color w:val="auto"/>
          <w:sz w:val="22"/>
          <w:szCs w:val="22"/>
        </w:rPr>
        <w:t>. The comparable figures for India at 0.23</w:t>
      </w:r>
      <w:r w:rsidR="006446D3">
        <w:rPr>
          <w:rFonts w:ascii="Palatino Linotype" w:hAnsi="Palatino Linotype"/>
          <w:color w:val="auto"/>
          <w:sz w:val="22"/>
          <w:szCs w:val="22"/>
        </w:rPr>
        <w:t xml:space="preserve"> </w:t>
      </w:r>
      <w:r w:rsidR="005B5C45">
        <w:rPr>
          <w:rFonts w:ascii="Palatino Linotype" w:hAnsi="Palatino Linotype"/>
          <w:color w:val="auto"/>
          <w:sz w:val="22"/>
          <w:szCs w:val="22"/>
        </w:rPr>
        <w:t>per cent</w:t>
      </w:r>
      <w:r w:rsidRPr="00A25620">
        <w:rPr>
          <w:rFonts w:ascii="Palatino Linotype" w:hAnsi="Palatino Linotype"/>
          <w:color w:val="auto"/>
          <w:sz w:val="22"/>
          <w:szCs w:val="22"/>
        </w:rPr>
        <w:t xml:space="preserve"> as well as for many other Asian economies such as Japan at 0.05</w:t>
      </w:r>
      <w:r w:rsidR="006446D3">
        <w:rPr>
          <w:rFonts w:ascii="Palatino Linotype" w:hAnsi="Palatino Linotype"/>
          <w:color w:val="auto"/>
          <w:sz w:val="22"/>
          <w:szCs w:val="22"/>
        </w:rPr>
        <w:t xml:space="preserve"> </w:t>
      </w:r>
      <w:r w:rsidR="005B5C45">
        <w:rPr>
          <w:rFonts w:ascii="Palatino Linotype" w:hAnsi="Palatino Linotype"/>
          <w:color w:val="auto"/>
          <w:sz w:val="22"/>
          <w:szCs w:val="22"/>
        </w:rPr>
        <w:t>per cent</w:t>
      </w:r>
      <w:r w:rsidRPr="00A25620">
        <w:rPr>
          <w:rFonts w:ascii="Palatino Linotype" w:hAnsi="Palatino Linotype"/>
          <w:color w:val="auto"/>
          <w:sz w:val="22"/>
          <w:szCs w:val="22"/>
        </w:rPr>
        <w:t>, China at 0.07</w:t>
      </w:r>
      <w:r w:rsidR="006446D3">
        <w:rPr>
          <w:rFonts w:ascii="Palatino Linotype" w:hAnsi="Palatino Linotype"/>
          <w:color w:val="auto"/>
          <w:sz w:val="22"/>
          <w:szCs w:val="22"/>
        </w:rPr>
        <w:t xml:space="preserve"> </w:t>
      </w:r>
      <w:r w:rsidR="005B5C45">
        <w:rPr>
          <w:rFonts w:ascii="Palatino Linotype" w:hAnsi="Palatino Linotype"/>
          <w:color w:val="auto"/>
          <w:sz w:val="22"/>
          <w:szCs w:val="22"/>
        </w:rPr>
        <w:t>per cent</w:t>
      </w:r>
      <w:r w:rsidRPr="00A25620">
        <w:rPr>
          <w:rFonts w:ascii="Palatino Linotype" w:hAnsi="Palatino Linotype"/>
          <w:color w:val="auto"/>
          <w:sz w:val="22"/>
          <w:szCs w:val="22"/>
        </w:rPr>
        <w:t xml:space="preserve"> and South Korea at 0.20</w:t>
      </w:r>
      <w:r w:rsidR="006446D3">
        <w:rPr>
          <w:rFonts w:ascii="Palatino Linotype" w:hAnsi="Palatino Linotype"/>
          <w:color w:val="auto"/>
          <w:sz w:val="22"/>
          <w:szCs w:val="22"/>
        </w:rPr>
        <w:t xml:space="preserve"> </w:t>
      </w:r>
      <w:r w:rsidR="005B5C45">
        <w:rPr>
          <w:rFonts w:ascii="Palatino Linotype" w:hAnsi="Palatino Linotype"/>
          <w:color w:val="auto"/>
          <w:sz w:val="22"/>
          <w:szCs w:val="22"/>
        </w:rPr>
        <w:t>per cent</w:t>
      </w:r>
      <w:r w:rsidRPr="00A25620">
        <w:rPr>
          <w:rFonts w:ascii="Palatino Linotype" w:hAnsi="Palatino Linotype"/>
          <w:color w:val="auto"/>
          <w:sz w:val="22"/>
          <w:szCs w:val="22"/>
        </w:rPr>
        <w:t xml:space="preserve"> remain poor. In fact, statistically, India seems to be doing better than these countries. </w:t>
      </w: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Corporate bonds are not as standardized as shares. A company may have bonds of several different maturities and characteristics. In other words, unlike equity instruments, corporate bonds are embedded with many nuances, both at the level of the issuer as also at the level of the instrument. This impedes liquidity. </w:t>
      </w: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Cross-country comparison also shows that the corporate bond market is predominantly an OTC market, driven by institutional investors. Therefore, unlike trading in shares where buy and sell orders are matched on electronic order books, corporate bonds are traded over the counter. Prices are negotiated off-line, bilaterally and reported / cleared on a DVP-1 basis. </w:t>
      </w:r>
    </w:p>
    <w:p w:rsidR="002E18B1"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Enhancing and coalescing the fragmented liquidity of corporate bonds is a felt need of the market participants. One way in which this could possibly be achieved is to create an electronic platform that enables sophisticated, multi-lateral negotiations to take place i.e. an enhanced ‘Request for Quote (RFQ)’ kind of arrangement. Negotiations that currently take place offline and bilaterally would have to be done on an electronic platform, with straight through processing of clearing and settlement to complete the trade. This is expected to lead to more transparency, centralization and pooling of investor interest and hopefully, a more efficient and liquid market. </w:t>
      </w:r>
    </w:p>
    <w:p w:rsidR="002E18B1" w:rsidRDefault="002E18B1" w:rsidP="002E18B1">
      <w:pPr>
        <w:pStyle w:val="Default"/>
        <w:widowControl w:val="0"/>
        <w:spacing w:line="276" w:lineRule="auto"/>
        <w:jc w:val="both"/>
        <w:rPr>
          <w:rFonts w:ascii="Palatino Linotype" w:hAnsi="Palatino Linotype"/>
          <w:color w:val="auto"/>
          <w:sz w:val="22"/>
          <w:szCs w:val="22"/>
        </w:rPr>
      </w:pPr>
    </w:p>
    <w:p w:rsidR="00A25620" w:rsidRPr="00A25620" w:rsidRDefault="00A25620" w:rsidP="002E18B1">
      <w:pPr>
        <w:pStyle w:val="Default"/>
        <w:widowControl w:val="0"/>
        <w:spacing w:line="276" w:lineRule="auto"/>
        <w:jc w:val="both"/>
        <w:rPr>
          <w:rFonts w:ascii="Palatino Linotype" w:hAnsi="Palatino Linotype"/>
          <w:color w:val="auto"/>
          <w:sz w:val="22"/>
          <w:szCs w:val="22"/>
        </w:rPr>
      </w:pPr>
      <w:r w:rsidRPr="00A25620">
        <w:rPr>
          <w:rFonts w:ascii="Palatino Linotype" w:hAnsi="Palatino Linotype"/>
          <w:b/>
          <w:bCs/>
          <w:color w:val="auto"/>
          <w:sz w:val="22"/>
          <w:szCs w:val="22"/>
        </w:rPr>
        <w:t xml:space="preserve">Credit Enhancement </w:t>
      </w:r>
    </w:p>
    <w:p w:rsidR="002E18B1" w:rsidRDefault="002E18B1" w:rsidP="002E18B1">
      <w:pPr>
        <w:pStyle w:val="Default"/>
        <w:widowControl w:val="0"/>
        <w:spacing w:line="276" w:lineRule="auto"/>
        <w:jc w:val="both"/>
        <w:rPr>
          <w:rFonts w:ascii="Palatino Linotype" w:hAnsi="Palatino Linotype"/>
          <w:color w:val="auto"/>
          <w:sz w:val="22"/>
          <w:szCs w:val="22"/>
        </w:rPr>
      </w:pP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As I have mentioned earlier, approximately 90 </w:t>
      </w:r>
      <w:r w:rsidR="005B5C45">
        <w:rPr>
          <w:rFonts w:ascii="Palatino Linotype" w:hAnsi="Palatino Linotype"/>
          <w:color w:val="auto"/>
          <w:sz w:val="22"/>
          <w:szCs w:val="22"/>
        </w:rPr>
        <w:t>per cent</w:t>
      </w:r>
      <w:r w:rsidRPr="00A25620">
        <w:rPr>
          <w:rFonts w:ascii="Palatino Linotype" w:hAnsi="Palatino Linotype"/>
          <w:color w:val="auto"/>
          <w:sz w:val="22"/>
          <w:szCs w:val="22"/>
        </w:rPr>
        <w:t xml:space="preserve"> of the papers are ‘AA and above’ rated. Lower rated papers, even if they are above investment grade, face difficulty both in terms of issuance and liquidity. This problem gets further compounded for infrastructure companies as most such companies are rated lower, especially in the initial phase of their life cycle. </w:t>
      </w: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Creating an institutional mechanism for providing appropriate credit enhancement and/or credit guarantee support would go a long way in enabling more companies, including infrastructure companies, to access the bond market as investors would take comfort from the credit support/ </w:t>
      </w:r>
      <w:r w:rsidRPr="00A25620">
        <w:rPr>
          <w:rFonts w:ascii="Palatino Linotype" w:hAnsi="Palatino Linotype"/>
          <w:color w:val="auto"/>
          <w:sz w:val="22"/>
          <w:szCs w:val="22"/>
        </w:rPr>
        <w:lastRenderedPageBreak/>
        <w:t xml:space="preserve">guarantee provided by such institutional mechanism. </w:t>
      </w: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The thinking of the Government is also on similar lines as is evident from the Budget Announcement of 2016-17 on providing credit enhancement to debt securities of infrastructure companies. More recently, Hon’ble Finance Minister has proposed to establish an organization to provide credit enhancement for infrastructure and housing projects. An early establishment and operationalization of such an organization would go a long way in raising of long tenor bonds by infrastructure companies. </w:t>
      </w:r>
    </w:p>
    <w:p w:rsidR="00A25620" w:rsidRPr="00A25620" w:rsidRDefault="00A25620" w:rsidP="002E18B1">
      <w:pPr>
        <w:pStyle w:val="Default"/>
        <w:widowControl w:val="0"/>
        <w:spacing w:line="276" w:lineRule="auto"/>
        <w:jc w:val="both"/>
        <w:rPr>
          <w:rFonts w:ascii="Palatino Linotype" w:hAnsi="Palatino Linotype"/>
          <w:color w:val="auto"/>
          <w:sz w:val="22"/>
          <w:szCs w:val="22"/>
        </w:rPr>
      </w:pPr>
    </w:p>
    <w:p w:rsidR="00A25620" w:rsidRDefault="00A25620" w:rsidP="002E18B1">
      <w:pPr>
        <w:pStyle w:val="Default"/>
        <w:widowControl w:val="0"/>
        <w:spacing w:line="276" w:lineRule="auto"/>
        <w:jc w:val="both"/>
        <w:rPr>
          <w:rFonts w:ascii="Palatino Linotype" w:hAnsi="Palatino Linotype"/>
          <w:b/>
          <w:bCs/>
          <w:color w:val="auto"/>
          <w:sz w:val="22"/>
          <w:szCs w:val="22"/>
        </w:rPr>
      </w:pPr>
      <w:r w:rsidRPr="00A25620">
        <w:rPr>
          <w:rFonts w:ascii="Palatino Linotype" w:hAnsi="Palatino Linotype"/>
          <w:b/>
          <w:bCs/>
          <w:color w:val="auto"/>
          <w:sz w:val="22"/>
          <w:szCs w:val="22"/>
        </w:rPr>
        <w:t xml:space="preserve">Reducing Cost </w:t>
      </w:r>
    </w:p>
    <w:p w:rsidR="002E18B1" w:rsidRPr="00A25620" w:rsidRDefault="002E18B1" w:rsidP="002E18B1">
      <w:pPr>
        <w:pStyle w:val="Default"/>
        <w:widowControl w:val="0"/>
        <w:spacing w:line="276" w:lineRule="auto"/>
        <w:jc w:val="both"/>
        <w:rPr>
          <w:rFonts w:ascii="Palatino Linotype" w:hAnsi="Palatino Linotype"/>
          <w:color w:val="auto"/>
          <w:sz w:val="22"/>
          <w:szCs w:val="22"/>
        </w:rPr>
      </w:pPr>
    </w:p>
    <w:p w:rsidR="00A25620" w:rsidRPr="00EB52C5" w:rsidRDefault="00A25620" w:rsidP="001A697A">
      <w:pPr>
        <w:pStyle w:val="Default"/>
        <w:widowControl w:val="0"/>
        <w:numPr>
          <w:ilvl w:val="0"/>
          <w:numId w:val="23"/>
        </w:numPr>
        <w:spacing w:line="276" w:lineRule="auto"/>
        <w:jc w:val="both"/>
        <w:rPr>
          <w:rFonts w:ascii="Palatino Linotype" w:hAnsi="Palatino Linotype"/>
          <w:color w:val="auto"/>
          <w:sz w:val="22"/>
          <w:szCs w:val="22"/>
        </w:rPr>
      </w:pPr>
      <w:r w:rsidRPr="00EB52C5">
        <w:rPr>
          <w:rFonts w:ascii="Palatino Linotype" w:hAnsi="Palatino Linotype"/>
          <w:color w:val="auto"/>
          <w:sz w:val="22"/>
          <w:szCs w:val="22"/>
        </w:rPr>
        <w:t xml:space="preserve">I share the concerns of market participants with regard to the cost of bond issuances. Studies carried out by SEBI have revealed that the requirement of creation of a Debenture Redemption Reserve (DRR) accounts for between 20 to 50 </w:t>
      </w:r>
      <w:r w:rsidR="005B5C45">
        <w:rPr>
          <w:rFonts w:ascii="Palatino Linotype" w:hAnsi="Palatino Linotype"/>
          <w:color w:val="auto"/>
          <w:sz w:val="22"/>
          <w:szCs w:val="22"/>
        </w:rPr>
        <w:t>per cent</w:t>
      </w:r>
      <w:r w:rsidRPr="00EB52C5">
        <w:rPr>
          <w:rFonts w:ascii="Palatino Linotype" w:hAnsi="Palatino Linotype"/>
          <w:color w:val="auto"/>
          <w:sz w:val="22"/>
          <w:szCs w:val="22"/>
        </w:rPr>
        <w:t xml:space="preserve"> of the cost of issuance. The recent Government announcement to remove DRR would, in all likelihood, substantially bring down the cost of issuance for issuers. </w:t>
      </w: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You may be aware that in India, as is also the case globally, most corporate bond issuances are privately placed. We have mandated that the entire process of corporate bond issuances has to be done through a transparent electronic book building platform (EBP), with the issuance process getting completed within T+2 days. As privately placed corporate bonds have to be listed, this improves disclosures about the issuer, reduces information asymmetry and enhances protection to the creditors. </w:t>
      </w:r>
    </w:p>
    <w:p w:rsid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Some of the other complementary measures, in this regard, that have been taken by us are: </w:t>
      </w:r>
    </w:p>
    <w:p w:rsidR="002E18B1" w:rsidRPr="002E18B1" w:rsidRDefault="002E18B1" w:rsidP="00EB52C5">
      <w:pPr>
        <w:pStyle w:val="ListParagraph"/>
        <w:widowControl w:val="0"/>
        <w:numPr>
          <w:ilvl w:val="0"/>
          <w:numId w:val="24"/>
        </w:numPr>
        <w:spacing w:after="0"/>
        <w:jc w:val="both"/>
        <w:rPr>
          <w:rFonts w:ascii="Palatino Linotype" w:hAnsi="Palatino Linotype"/>
          <w:sz w:val="22"/>
          <w:szCs w:val="22"/>
        </w:rPr>
      </w:pPr>
      <w:r w:rsidRPr="002E18B1">
        <w:rPr>
          <w:rFonts w:ascii="Palatino Linotype" w:hAnsi="Palatino Linotype"/>
          <w:sz w:val="22"/>
          <w:szCs w:val="22"/>
        </w:rPr>
        <w:t>Doing away with the requirement of 1</w:t>
      </w:r>
      <w:r w:rsidR="005B5C45">
        <w:rPr>
          <w:rFonts w:ascii="Palatino Linotype" w:hAnsi="Palatino Linotype"/>
          <w:sz w:val="22"/>
          <w:szCs w:val="22"/>
        </w:rPr>
        <w:t>per cent</w:t>
      </w:r>
      <w:r w:rsidRPr="002E18B1">
        <w:rPr>
          <w:rFonts w:ascii="Palatino Linotype" w:hAnsi="Palatino Linotype"/>
          <w:sz w:val="22"/>
          <w:szCs w:val="22"/>
        </w:rPr>
        <w:t xml:space="preserve"> security deposit for public issue of debt securities. </w:t>
      </w:r>
    </w:p>
    <w:p w:rsidR="002E18B1" w:rsidRPr="002E18B1" w:rsidRDefault="002E18B1" w:rsidP="00EB52C5">
      <w:pPr>
        <w:pStyle w:val="ListParagraph"/>
        <w:widowControl w:val="0"/>
        <w:numPr>
          <w:ilvl w:val="0"/>
          <w:numId w:val="24"/>
        </w:numPr>
        <w:spacing w:after="0"/>
        <w:jc w:val="both"/>
        <w:rPr>
          <w:rFonts w:ascii="Palatino Linotype" w:hAnsi="Palatino Linotype"/>
          <w:sz w:val="22"/>
          <w:szCs w:val="22"/>
        </w:rPr>
      </w:pPr>
      <w:r w:rsidRPr="002E18B1">
        <w:rPr>
          <w:rFonts w:ascii="Palatino Linotype" w:hAnsi="Palatino Linotype"/>
          <w:sz w:val="22"/>
          <w:szCs w:val="22"/>
        </w:rPr>
        <w:t xml:space="preserve">Reduction in time taken for listing of public issue of bonds from 12 days to 6 days. </w:t>
      </w:r>
    </w:p>
    <w:p w:rsidR="002E18B1" w:rsidRPr="002E18B1" w:rsidRDefault="002E18B1" w:rsidP="00EB52C5">
      <w:pPr>
        <w:pStyle w:val="ListParagraph"/>
        <w:widowControl w:val="0"/>
        <w:numPr>
          <w:ilvl w:val="0"/>
          <w:numId w:val="24"/>
        </w:numPr>
        <w:spacing w:after="0"/>
        <w:jc w:val="both"/>
        <w:rPr>
          <w:rFonts w:ascii="Palatino Linotype" w:hAnsi="Palatino Linotype"/>
          <w:sz w:val="22"/>
          <w:szCs w:val="22"/>
        </w:rPr>
      </w:pPr>
      <w:r w:rsidRPr="002E18B1">
        <w:rPr>
          <w:rFonts w:ascii="Palatino Linotype" w:hAnsi="Palatino Linotype"/>
          <w:sz w:val="22"/>
          <w:szCs w:val="22"/>
        </w:rPr>
        <w:t>Compulsory ASBA based application for public issue of bonds.</w:t>
      </w: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We are also in the process of enabling UPI linked payment interface for bond subscription, including an App based subscription mechanism. I hope that the sum total of these measures further reduces the cost of corporate bonds issuances in India. </w:t>
      </w:r>
    </w:p>
    <w:p w:rsidR="00A25620" w:rsidRPr="00A25620" w:rsidRDefault="00A25620" w:rsidP="002E18B1">
      <w:pPr>
        <w:pStyle w:val="Default"/>
        <w:widowControl w:val="0"/>
        <w:spacing w:line="276" w:lineRule="auto"/>
        <w:jc w:val="both"/>
        <w:rPr>
          <w:rFonts w:ascii="Palatino Linotype" w:hAnsi="Palatino Linotype"/>
          <w:color w:val="auto"/>
          <w:sz w:val="22"/>
          <w:szCs w:val="22"/>
        </w:rPr>
      </w:pPr>
    </w:p>
    <w:p w:rsidR="00A25620" w:rsidRDefault="00A25620" w:rsidP="002E18B1">
      <w:pPr>
        <w:pStyle w:val="Default"/>
        <w:widowControl w:val="0"/>
        <w:spacing w:line="276" w:lineRule="auto"/>
        <w:jc w:val="both"/>
        <w:rPr>
          <w:rFonts w:ascii="Palatino Linotype" w:hAnsi="Palatino Linotype"/>
          <w:b/>
          <w:bCs/>
          <w:color w:val="auto"/>
          <w:sz w:val="22"/>
          <w:szCs w:val="22"/>
        </w:rPr>
      </w:pPr>
      <w:r w:rsidRPr="00A25620">
        <w:rPr>
          <w:rFonts w:ascii="Palatino Linotype" w:hAnsi="Palatino Linotype"/>
          <w:b/>
          <w:bCs/>
          <w:color w:val="auto"/>
          <w:sz w:val="22"/>
          <w:szCs w:val="22"/>
        </w:rPr>
        <w:t xml:space="preserve">New Products </w:t>
      </w:r>
    </w:p>
    <w:p w:rsidR="002E18B1" w:rsidRPr="00A25620" w:rsidRDefault="002E18B1" w:rsidP="002E18B1">
      <w:pPr>
        <w:pStyle w:val="Default"/>
        <w:widowControl w:val="0"/>
        <w:spacing w:line="276" w:lineRule="auto"/>
        <w:jc w:val="both"/>
        <w:rPr>
          <w:rFonts w:ascii="Palatino Linotype" w:hAnsi="Palatino Linotype"/>
          <w:color w:val="auto"/>
          <w:sz w:val="22"/>
          <w:szCs w:val="22"/>
        </w:rPr>
      </w:pPr>
    </w:p>
    <w:p w:rsidR="002E18B1" w:rsidRPr="00EB52C5"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At present, the corporate bond market is dominated by plain vanilla bonds. Market development, however, demands an array of debt instruments to suit the varying needs of different class of market participants. In this context, the market has seen a number of new products such as Tri-partite Repo on exchange platform, bilateral Repo cleared through clearing corporations, interest rate derivatives, security receipts, units of REITs / InvITs, municipal bonds, etc. There is, however, a need for more coordinated and concerted effort to significantly enhance traction in these products. </w:t>
      </w: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The recent Budget Announcement regarding development of CDS market is one more in the series of policy measures to enhance the availability of products in the corporate bond market. </w:t>
      </w:r>
    </w:p>
    <w:p w:rsidR="00A25620" w:rsidRPr="00A25620" w:rsidRDefault="00A25620" w:rsidP="002E18B1">
      <w:pPr>
        <w:pStyle w:val="Default"/>
        <w:widowControl w:val="0"/>
        <w:spacing w:line="276" w:lineRule="auto"/>
        <w:jc w:val="both"/>
        <w:rPr>
          <w:rFonts w:ascii="Palatino Linotype" w:hAnsi="Palatino Linotype"/>
          <w:color w:val="auto"/>
          <w:sz w:val="22"/>
          <w:szCs w:val="22"/>
        </w:rPr>
      </w:pPr>
    </w:p>
    <w:p w:rsidR="00A25620" w:rsidRDefault="00A25620" w:rsidP="002E18B1">
      <w:pPr>
        <w:pStyle w:val="Default"/>
        <w:widowControl w:val="0"/>
        <w:spacing w:line="276" w:lineRule="auto"/>
        <w:jc w:val="both"/>
        <w:rPr>
          <w:rFonts w:ascii="Palatino Linotype" w:hAnsi="Palatino Linotype"/>
          <w:b/>
          <w:bCs/>
          <w:color w:val="auto"/>
          <w:sz w:val="22"/>
          <w:szCs w:val="22"/>
        </w:rPr>
      </w:pPr>
      <w:r w:rsidRPr="00A25620">
        <w:rPr>
          <w:rFonts w:ascii="Palatino Linotype" w:hAnsi="Palatino Linotype"/>
          <w:b/>
          <w:bCs/>
          <w:color w:val="auto"/>
          <w:sz w:val="22"/>
          <w:szCs w:val="22"/>
        </w:rPr>
        <w:t xml:space="preserve">Pools of Risk Capital </w:t>
      </w:r>
    </w:p>
    <w:p w:rsidR="002E18B1" w:rsidRPr="00A25620" w:rsidRDefault="002E18B1" w:rsidP="002E18B1">
      <w:pPr>
        <w:pStyle w:val="Default"/>
        <w:widowControl w:val="0"/>
        <w:spacing w:line="276" w:lineRule="auto"/>
        <w:jc w:val="both"/>
        <w:rPr>
          <w:rFonts w:ascii="Palatino Linotype" w:hAnsi="Palatino Linotype"/>
          <w:color w:val="auto"/>
          <w:sz w:val="22"/>
          <w:szCs w:val="22"/>
        </w:rPr>
      </w:pP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Institutional investors are the pre-dominant investors in corporate bond market. Institutional investors such as pension funds, provident funds and insurance companies can generate far higher demand for longer dated corporate issuances. They are, however, guided by the investment norms prescribed by their respective sectoral regulators. </w:t>
      </w: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Relaxation of investment norms to these investors, allowing for a higher allocation by them to the corporate bond market would aid these savings to earn incremental returns and generate demand for corporate bonds. Additionally, as these institutions are long term investors and they generally hold their investments till maturity, they can act as ideal counterparties on the demand side to the infrastructure companies needing to rely on funding through longer dated instruments. The implementation of the Budget announcement of 2018-19 relating to permitting investment by regulated entities in ‘A’ grade bonds would help. </w:t>
      </w: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At the same time, it is important to note that these institutional investors have fiduciary responsibility and consequently tendency for risk aversion. It is but natural for them to prefer investment in high rated papers. </w:t>
      </w:r>
    </w:p>
    <w:p w:rsid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To address the lack of traction in lower rated papers, there is a need to encourage alternate pools of risk capital to the corporate bond market. We are beginning to see some initial interest, in this regard, with the increase in activities of ARCs and AIFs in the recent times. This is an area where policy makers need to focus more and think of providing appropriate incentives to such pools of risk capital. </w:t>
      </w:r>
    </w:p>
    <w:p w:rsidR="002E18B1" w:rsidRPr="00A25620" w:rsidRDefault="002E18B1" w:rsidP="002E18B1">
      <w:pPr>
        <w:pStyle w:val="Default"/>
        <w:widowControl w:val="0"/>
        <w:spacing w:line="276" w:lineRule="auto"/>
        <w:jc w:val="both"/>
        <w:rPr>
          <w:rFonts w:ascii="Palatino Linotype" w:hAnsi="Palatino Linotype"/>
          <w:color w:val="auto"/>
          <w:sz w:val="22"/>
          <w:szCs w:val="22"/>
        </w:rPr>
      </w:pPr>
    </w:p>
    <w:p w:rsidR="00A25620" w:rsidRDefault="00A25620" w:rsidP="002E18B1">
      <w:pPr>
        <w:pStyle w:val="Default"/>
        <w:widowControl w:val="0"/>
        <w:spacing w:line="276" w:lineRule="auto"/>
        <w:jc w:val="both"/>
        <w:rPr>
          <w:rFonts w:ascii="Palatino Linotype" w:hAnsi="Palatino Linotype"/>
          <w:b/>
          <w:bCs/>
          <w:color w:val="auto"/>
          <w:sz w:val="22"/>
          <w:szCs w:val="22"/>
        </w:rPr>
      </w:pPr>
      <w:r w:rsidRPr="00A25620">
        <w:rPr>
          <w:rFonts w:ascii="Palatino Linotype" w:hAnsi="Palatino Linotype"/>
          <w:b/>
          <w:bCs/>
          <w:color w:val="auto"/>
          <w:sz w:val="22"/>
          <w:szCs w:val="22"/>
        </w:rPr>
        <w:t xml:space="preserve">D. Conclusion </w:t>
      </w:r>
    </w:p>
    <w:p w:rsidR="00EB52C5" w:rsidRPr="00A25620" w:rsidRDefault="00EB52C5" w:rsidP="002E18B1">
      <w:pPr>
        <w:pStyle w:val="Default"/>
        <w:widowControl w:val="0"/>
        <w:spacing w:line="276" w:lineRule="auto"/>
        <w:jc w:val="both"/>
        <w:rPr>
          <w:rFonts w:ascii="Palatino Linotype" w:hAnsi="Palatino Linotype"/>
          <w:color w:val="auto"/>
          <w:sz w:val="22"/>
          <w:szCs w:val="22"/>
        </w:rPr>
      </w:pP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To conclude, corporate bond market is important as it acts as a good signaling indicator for all participants in the economy. Corporate bond market has to play an enhanced complementary role in supporting higher corporate investments to take India’s growth story to the next level. In this context, I have highlighted some of the important challenges that need to be addressed and my policy prescriptions for them. </w:t>
      </w:r>
    </w:p>
    <w:p w:rsidR="00A25620" w:rsidRPr="00A25620" w:rsidRDefault="00A25620" w:rsidP="00EB52C5">
      <w:pPr>
        <w:pStyle w:val="Default"/>
        <w:widowControl w:val="0"/>
        <w:numPr>
          <w:ilvl w:val="0"/>
          <w:numId w:val="23"/>
        </w:numPr>
        <w:spacing w:line="276" w:lineRule="auto"/>
        <w:jc w:val="both"/>
        <w:rPr>
          <w:rFonts w:ascii="Palatino Linotype" w:hAnsi="Palatino Linotype"/>
          <w:color w:val="auto"/>
          <w:sz w:val="22"/>
          <w:szCs w:val="22"/>
        </w:rPr>
      </w:pPr>
      <w:r w:rsidRPr="00A25620">
        <w:rPr>
          <w:rFonts w:ascii="Palatino Linotype" w:hAnsi="Palatino Linotype"/>
          <w:color w:val="auto"/>
          <w:sz w:val="22"/>
          <w:szCs w:val="22"/>
        </w:rPr>
        <w:t xml:space="preserve">I look forward to new ideas and suggestions from you all. </w:t>
      </w:r>
    </w:p>
    <w:p w:rsidR="00A25620" w:rsidRPr="00A25620" w:rsidRDefault="00A25620" w:rsidP="00A25620">
      <w:pPr>
        <w:pStyle w:val="Default"/>
        <w:spacing w:line="276" w:lineRule="auto"/>
        <w:jc w:val="both"/>
        <w:rPr>
          <w:rFonts w:ascii="Palatino Linotype" w:hAnsi="Palatino Linotype"/>
          <w:color w:val="auto"/>
          <w:sz w:val="22"/>
          <w:szCs w:val="22"/>
        </w:rPr>
      </w:pPr>
    </w:p>
    <w:p w:rsidR="00A25620" w:rsidRPr="00A25620" w:rsidRDefault="00A25620" w:rsidP="002E18B1">
      <w:pPr>
        <w:spacing w:line="276" w:lineRule="auto"/>
        <w:jc w:val="center"/>
        <w:rPr>
          <w:rFonts w:ascii="Palatino Linotype" w:hAnsi="Palatino Linotype"/>
          <w:sz w:val="22"/>
          <w:szCs w:val="22"/>
        </w:rPr>
      </w:pPr>
      <w:r w:rsidRPr="00A25620">
        <w:rPr>
          <w:rFonts w:ascii="Palatino Linotype" w:hAnsi="Palatino Linotype"/>
          <w:sz w:val="22"/>
          <w:szCs w:val="22"/>
        </w:rPr>
        <w:t>Thank you and all the very best for a successful event!</w:t>
      </w:r>
    </w:p>
    <w:p w:rsidR="00F56183" w:rsidRPr="00F56183" w:rsidRDefault="00F56183" w:rsidP="00F56183">
      <w:pPr>
        <w:pStyle w:val="ListParagraph"/>
        <w:rPr>
          <w:rFonts w:ascii="Palatino Linotype" w:eastAsia="Times New Roman" w:hAnsi="Palatino Linotype"/>
          <w:sz w:val="22"/>
          <w:szCs w:val="22"/>
        </w:rPr>
      </w:pPr>
    </w:p>
    <w:p w:rsidR="00F56183" w:rsidRDefault="00F56183" w:rsidP="00F56183">
      <w:pPr>
        <w:pStyle w:val="ListParagraph"/>
        <w:jc w:val="both"/>
        <w:rPr>
          <w:rFonts w:ascii="Palatino Linotype" w:eastAsia="Times New Roman" w:hAnsi="Palatino Linotype"/>
          <w:sz w:val="22"/>
          <w:szCs w:val="22"/>
        </w:rPr>
      </w:pPr>
    </w:p>
    <w:p w:rsidR="005C5499" w:rsidRPr="00A02D52" w:rsidRDefault="005C5499" w:rsidP="0036332D">
      <w:pPr>
        <w:spacing w:line="128" w:lineRule="exact"/>
        <w:jc w:val="both"/>
        <w:rPr>
          <w:rFonts w:ascii="Palatino Linotype" w:eastAsia="Times New Roman" w:hAnsi="Palatino Linotype"/>
          <w:sz w:val="22"/>
          <w:szCs w:val="22"/>
        </w:rPr>
      </w:pPr>
    </w:p>
    <w:p w:rsidR="005C5499" w:rsidRPr="00A02D52" w:rsidRDefault="005C5499" w:rsidP="00A02D52">
      <w:pPr>
        <w:spacing w:line="200" w:lineRule="exact"/>
        <w:jc w:val="both"/>
        <w:rPr>
          <w:rFonts w:ascii="Palatino Linotype" w:eastAsia="Times New Roman" w:hAnsi="Palatino Linotype"/>
          <w:sz w:val="22"/>
          <w:szCs w:val="22"/>
        </w:rPr>
      </w:pPr>
    </w:p>
    <w:p w:rsidR="005C5499" w:rsidRPr="00A02D52" w:rsidRDefault="005C5499" w:rsidP="00A02D52">
      <w:pPr>
        <w:spacing w:line="200" w:lineRule="exact"/>
        <w:jc w:val="both"/>
        <w:rPr>
          <w:rFonts w:ascii="Palatino Linotype" w:eastAsia="Times New Roman" w:hAnsi="Palatino Linotype"/>
          <w:sz w:val="22"/>
          <w:szCs w:val="22"/>
        </w:rPr>
      </w:pPr>
    </w:p>
    <w:p w:rsidR="005C5499" w:rsidRPr="00954EC8" w:rsidRDefault="005C5499" w:rsidP="00954EC8">
      <w:pPr>
        <w:jc w:val="center"/>
        <w:outlineLvl w:val="0"/>
        <w:rPr>
          <w:rFonts w:ascii="Palatino Linotype" w:hAnsi="Palatino Linotype" w:cs="Helvetica"/>
          <w:b/>
          <w:color w:val="000099"/>
          <w:sz w:val="22"/>
          <w:szCs w:val="22"/>
        </w:rPr>
      </w:pPr>
    </w:p>
    <w:p w:rsidR="00954EC8" w:rsidRDefault="00954EC8" w:rsidP="00954EC8">
      <w:pPr>
        <w:jc w:val="center"/>
        <w:outlineLvl w:val="0"/>
        <w:rPr>
          <w:rFonts w:ascii="Palatino Linotype" w:hAnsi="Palatino Linotype" w:cs="Helvetica"/>
          <w:b/>
          <w:color w:val="000099"/>
          <w:sz w:val="22"/>
          <w:szCs w:val="22"/>
        </w:rPr>
      </w:pPr>
    </w:p>
    <w:p w:rsidR="00954EC8" w:rsidRDefault="00954EC8" w:rsidP="00954EC8">
      <w:pPr>
        <w:jc w:val="center"/>
        <w:outlineLvl w:val="0"/>
        <w:rPr>
          <w:rFonts w:ascii="Palatino Linotype" w:hAnsi="Palatino Linotype" w:cs="Helvetica"/>
          <w:b/>
          <w:color w:val="000099"/>
          <w:sz w:val="22"/>
          <w:szCs w:val="22"/>
        </w:rPr>
      </w:pPr>
    </w:p>
    <w:p w:rsidR="00954EC8" w:rsidRDefault="00954EC8" w:rsidP="00954EC8">
      <w:pPr>
        <w:jc w:val="center"/>
        <w:outlineLvl w:val="0"/>
        <w:rPr>
          <w:rFonts w:ascii="Palatino Linotype" w:hAnsi="Palatino Linotype" w:cs="Helvetica"/>
          <w:b/>
          <w:color w:val="000099"/>
          <w:sz w:val="22"/>
          <w:szCs w:val="22"/>
        </w:rPr>
      </w:pPr>
    </w:p>
    <w:p w:rsidR="00954EC8" w:rsidRDefault="00954EC8" w:rsidP="00954EC8">
      <w:pPr>
        <w:jc w:val="center"/>
        <w:outlineLvl w:val="0"/>
        <w:rPr>
          <w:rFonts w:ascii="Palatino Linotype" w:hAnsi="Palatino Linotype" w:cs="Helvetica"/>
          <w:b/>
          <w:color w:val="000099"/>
          <w:sz w:val="22"/>
          <w:szCs w:val="22"/>
        </w:rPr>
      </w:pPr>
    </w:p>
    <w:p w:rsidR="00954EC8" w:rsidRDefault="00954EC8" w:rsidP="00954EC8">
      <w:pPr>
        <w:jc w:val="center"/>
        <w:outlineLvl w:val="0"/>
        <w:rPr>
          <w:rFonts w:ascii="Palatino Linotype" w:hAnsi="Palatino Linotype" w:cs="Helvetica"/>
          <w:b/>
          <w:color w:val="000099"/>
          <w:sz w:val="22"/>
          <w:szCs w:val="22"/>
        </w:rPr>
      </w:pPr>
    </w:p>
    <w:p w:rsidR="00954EC8" w:rsidRDefault="00954EC8" w:rsidP="00954EC8">
      <w:pPr>
        <w:jc w:val="center"/>
        <w:outlineLvl w:val="0"/>
        <w:rPr>
          <w:rFonts w:ascii="Palatino Linotype" w:hAnsi="Palatino Linotype" w:cs="Helvetica"/>
          <w:b/>
          <w:color w:val="000099"/>
          <w:sz w:val="22"/>
          <w:szCs w:val="22"/>
        </w:rPr>
      </w:pPr>
    </w:p>
    <w:p w:rsidR="00954EC8" w:rsidRDefault="00954EC8" w:rsidP="00954EC8">
      <w:pPr>
        <w:jc w:val="center"/>
        <w:outlineLvl w:val="0"/>
        <w:rPr>
          <w:rFonts w:ascii="Palatino Linotype" w:hAnsi="Palatino Linotype" w:cs="Helvetica"/>
          <w:b/>
          <w:color w:val="000099"/>
          <w:sz w:val="22"/>
          <w:szCs w:val="22"/>
        </w:rPr>
      </w:pPr>
    </w:p>
    <w:p w:rsidR="00954EC8" w:rsidRDefault="00954EC8"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B25DA6" w:rsidRPr="009A0EB3" w:rsidRDefault="00B25DA6" w:rsidP="00B25DA6">
      <w:pPr>
        <w:jc w:val="center"/>
        <w:outlineLvl w:val="0"/>
        <w:rPr>
          <w:rFonts w:ascii="Palatino Linotype" w:hAnsi="Palatino Linotype" w:cs="Helvetica"/>
          <w:b/>
          <w:color w:val="000099"/>
          <w:sz w:val="28"/>
          <w:szCs w:val="28"/>
        </w:rPr>
      </w:pPr>
      <w:r w:rsidRPr="009A0EB3">
        <w:rPr>
          <w:rFonts w:ascii="Palatino Linotype" w:hAnsi="Palatino Linotype" w:cs="Helvetica"/>
          <w:b/>
          <w:color w:val="000099"/>
          <w:sz w:val="28"/>
          <w:szCs w:val="28"/>
        </w:rPr>
        <w:t>CAPITAL MARKET REVIEW</w:t>
      </w:r>
    </w:p>
    <w:p w:rsidR="009A0EB3" w:rsidRPr="009A0EB3" w:rsidRDefault="009A0EB3" w:rsidP="00B25DA6">
      <w:pPr>
        <w:jc w:val="center"/>
        <w:outlineLvl w:val="0"/>
        <w:rPr>
          <w:rFonts w:ascii="Palatino Linotype" w:hAnsi="Palatino Linotype" w:cs="Helvetica"/>
          <w:b/>
          <w:color w:val="000099"/>
          <w:sz w:val="22"/>
          <w:szCs w:val="22"/>
        </w:rPr>
      </w:pPr>
    </w:p>
    <w:p w:rsidR="0032036A" w:rsidRPr="009A0EB3" w:rsidRDefault="0032036A" w:rsidP="0032036A">
      <w:pPr>
        <w:jc w:val="both"/>
        <w:rPr>
          <w:rFonts w:ascii="Palatino Linotype" w:hAnsi="Palatino Linotype"/>
          <w:sz w:val="22"/>
          <w:szCs w:val="22"/>
          <w:highlight w:val="yellow"/>
        </w:rPr>
      </w:pP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Resource Mobilisation by Corporates</w:t>
      </w:r>
    </w:p>
    <w:p w:rsidR="0032036A" w:rsidRPr="009A0EB3" w:rsidRDefault="0032036A" w:rsidP="0032036A">
      <w:pPr>
        <w:widowControl w:val="0"/>
        <w:contextualSpacing/>
        <w:rPr>
          <w:rFonts w:ascii="Palatino Linotype" w:hAnsi="Palatino Linotype"/>
          <w:b/>
          <w:sz w:val="22"/>
          <w:szCs w:val="22"/>
        </w:rPr>
      </w:pPr>
    </w:p>
    <w:p w:rsidR="003F71F4" w:rsidRPr="009A0EB3" w:rsidRDefault="003F71F4" w:rsidP="003F71F4">
      <w:pPr>
        <w:widowControl w:val="0"/>
        <w:contextualSpacing/>
        <w:jc w:val="both"/>
        <w:rPr>
          <w:rFonts w:ascii="Palatino Linotype" w:hAnsi="Palatino Linotype"/>
          <w:b/>
          <w:sz w:val="22"/>
          <w:szCs w:val="22"/>
        </w:rPr>
      </w:pPr>
      <w:r w:rsidRPr="009A0EB3">
        <w:rPr>
          <w:rFonts w:ascii="Palatino Linotype" w:hAnsi="Palatino Linotype"/>
          <w:b/>
          <w:sz w:val="22"/>
          <w:szCs w:val="22"/>
        </w:rPr>
        <w:t xml:space="preserve">Exhibit 1: Funds Mobilisation by Corporates </w:t>
      </w:r>
      <w:r w:rsidRPr="009A0EB3">
        <w:rPr>
          <w:rFonts w:ascii="Palatino Linotype" w:hAnsi="Palatino Linotype"/>
          <w:b/>
          <w:bCs/>
          <w:sz w:val="22"/>
          <w:szCs w:val="22"/>
        </w:rPr>
        <w:t>(</w:t>
      </w:r>
      <w:r w:rsidRPr="009A0EB3">
        <w:rPr>
          <w:rFonts w:ascii="Tahoma" w:hAnsi="Tahoma" w:cs="Tahoma"/>
          <w:b/>
          <w:bCs/>
          <w:sz w:val="22"/>
          <w:szCs w:val="22"/>
        </w:rPr>
        <w:t>₹</w:t>
      </w:r>
      <w:r w:rsidRPr="009A0EB3">
        <w:rPr>
          <w:rFonts w:ascii="Palatino Linotype" w:hAnsi="Palatino Linotype"/>
          <w:b/>
          <w:bCs/>
          <w:sz w:val="22"/>
          <w:szCs w:val="22"/>
        </w:rPr>
        <w:t xml:space="preserve"> crore)</w:t>
      </w:r>
      <w:r w:rsidRPr="009A0EB3">
        <w:rPr>
          <w:rFonts w:ascii="Palatino Linotype" w:hAnsi="Palatino Linotype"/>
          <w:b/>
          <w:sz w:val="22"/>
          <w:szCs w:val="22"/>
        </w:rPr>
        <w:t xml:space="preserve"> </w:t>
      </w:r>
    </w:p>
    <w:tbl>
      <w:tblPr>
        <w:tblW w:w="9555" w:type="dxa"/>
        <w:tblLook w:val="04A0" w:firstRow="1" w:lastRow="0" w:firstColumn="1" w:lastColumn="0" w:noHBand="0" w:noVBand="1"/>
      </w:tblPr>
      <w:tblGrid>
        <w:gridCol w:w="6584"/>
        <w:gridCol w:w="1562"/>
        <w:gridCol w:w="1409"/>
      </w:tblGrid>
      <w:tr w:rsidR="002D2DC8" w:rsidRPr="002D2DC8" w:rsidTr="002D2DC8">
        <w:trPr>
          <w:trHeight w:val="205"/>
        </w:trPr>
        <w:tc>
          <w:tcPr>
            <w:tcW w:w="658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2D2DC8" w:rsidRPr="002D2DC8" w:rsidRDefault="002D2DC8" w:rsidP="002D2DC8">
            <w:pPr>
              <w:rPr>
                <w:rFonts w:ascii="Garamond" w:eastAsia="Times New Roman" w:hAnsi="Garamond"/>
                <w:b/>
                <w:bCs/>
                <w:color w:val="000000"/>
                <w:sz w:val="22"/>
                <w:szCs w:val="22"/>
                <w:lang w:val="en-US"/>
              </w:rPr>
            </w:pPr>
            <w:r w:rsidRPr="002D2DC8">
              <w:rPr>
                <w:rFonts w:ascii="Garamond" w:eastAsia="Times New Roman" w:hAnsi="Garamond"/>
                <w:b/>
                <w:bCs/>
                <w:color w:val="000000"/>
                <w:sz w:val="22"/>
                <w:szCs w:val="22"/>
                <w:lang w:val="en-US"/>
              </w:rPr>
              <w:t>Particulars</w:t>
            </w:r>
          </w:p>
        </w:tc>
        <w:tc>
          <w:tcPr>
            <w:tcW w:w="1562" w:type="dxa"/>
            <w:tcBorders>
              <w:top w:val="single" w:sz="4" w:space="0" w:color="auto"/>
              <w:left w:val="nil"/>
              <w:bottom w:val="single" w:sz="4" w:space="0" w:color="auto"/>
              <w:right w:val="single" w:sz="4" w:space="0" w:color="auto"/>
            </w:tcBorders>
            <w:shd w:val="clear" w:color="000000" w:fill="A9D08E"/>
            <w:noWrap/>
            <w:vAlign w:val="center"/>
            <w:hideMark/>
          </w:tcPr>
          <w:p w:rsidR="002D2DC8" w:rsidRPr="002D2DC8" w:rsidRDefault="002D2DC8" w:rsidP="002D2DC8">
            <w:pPr>
              <w:jc w:val="right"/>
              <w:rPr>
                <w:rFonts w:ascii="Garamond" w:eastAsia="Times New Roman" w:hAnsi="Garamond"/>
                <w:b/>
                <w:bCs/>
                <w:color w:val="000000"/>
                <w:sz w:val="22"/>
                <w:szCs w:val="22"/>
                <w:lang w:val="en-US"/>
              </w:rPr>
            </w:pPr>
            <w:r w:rsidRPr="002D2DC8">
              <w:rPr>
                <w:rFonts w:ascii="Garamond" w:eastAsia="Times New Roman" w:hAnsi="Garamond"/>
                <w:b/>
                <w:bCs/>
                <w:color w:val="000000"/>
                <w:sz w:val="22"/>
                <w:szCs w:val="22"/>
                <w:lang w:val="en-US"/>
              </w:rPr>
              <w:t>Aug-19</w:t>
            </w:r>
          </w:p>
        </w:tc>
        <w:tc>
          <w:tcPr>
            <w:tcW w:w="1409" w:type="dxa"/>
            <w:tcBorders>
              <w:top w:val="single" w:sz="4" w:space="0" w:color="auto"/>
              <w:left w:val="nil"/>
              <w:bottom w:val="single" w:sz="4" w:space="0" w:color="auto"/>
              <w:right w:val="single" w:sz="4" w:space="0" w:color="auto"/>
            </w:tcBorders>
            <w:shd w:val="clear" w:color="000000" w:fill="A9D08E"/>
            <w:noWrap/>
            <w:vAlign w:val="center"/>
            <w:hideMark/>
          </w:tcPr>
          <w:p w:rsidR="002D2DC8" w:rsidRPr="002D2DC8" w:rsidRDefault="002D2DC8" w:rsidP="002D2DC8">
            <w:pPr>
              <w:jc w:val="right"/>
              <w:rPr>
                <w:rFonts w:ascii="Garamond" w:eastAsia="Times New Roman" w:hAnsi="Garamond"/>
                <w:b/>
                <w:bCs/>
                <w:color w:val="000000"/>
                <w:sz w:val="22"/>
                <w:szCs w:val="22"/>
                <w:lang w:val="en-US"/>
              </w:rPr>
            </w:pPr>
            <w:r w:rsidRPr="002D2DC8">
              <w:rPr>
                <w:rFonts w:ascii="Garamond" w:eastAsia="Times New Roman" w:hAnsi="Garamond"/>
                <w:b/>
                <w:bCs/>
                <w:color w:val="000000"/>
                <w:sz w:val="22"/>
                <w:szCs w:val="22"/>
                <w:lang w:val="en-US"/>
              </w:rPr>
              <w:t>Sep-19</w:t>
            </w:r>
          </w:p>
        </w:tc>
      </w:tr>
      <w:tr w:rsidR="002D2DC8"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D2DC8" w:rsidRPr="002D2DC8" w:rsidRDefault="002D2DC8" w:rsidP="002D2DC8">
            <w:pPr>
              <w:rPr>
                <w:rFonts w:ascii="Garamond" w:eastAsia="Times New Roman" w:hAnsi="Garamond"/>
                <w:b/>
                <w:bCs/>
                <w:i/>
                <w:iCs/>
                <w:color w:val="000000"/>
                <w:sz w:val="22"/>
                <w:szCs w:val="22"/>
                <w:lang w:val="en-US"/>
              </w:rPr>
            </w:pPr>
            <w:r w:rsidRPr="002D2DC8">
              <w:rPr>
                <w:rFonts w:ascii="Garamond" w:eastAsia="Times New Roman" w:hAnsi="Garamond"/>
                <w:b/>
                <w:bCs/>
                <w:i/>
                <w:iCs/>
                <w:color w:val="000000"/>
                <w:sz w:val="22"/>
                <w:szCs w:val="22"/>
                <w:lang w:val="en-US"/>
              </w:rPr>
              <w:t>A. Funds Mobilisation through Public  Issue (I+II)</w:t>
            </w:r>
          </w:p>
        </w:tc>
        <w:tc>
          <w:tcPr>
            <w:tcW w:w="1562"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b/>
                <w:bCs/>
                <w:color w:val="000000"/>
                <w:sz w:val="22"/>
                <w:szCs w:val="22"/>
                <w:lang w:val="en-US"/>
              </w:rPr>
            </w:pPr>
            <w:r w:rsidRPr="002D2DC8">
              <w:rPr>
                <w:rFonts w:ascii="Garamond" w:eastAsia="Times New Roman" w:hAnsi="Garamond"/>
                <w:b/>
                <w:bCs/>
                <w:color w:val="000000"/>
                <w:sz w:val="22"/>
                <w:szCs w:val="22"/>
                <w:lang w:val="en-US"/>
              </w:rPr>
              <w:t xml:space="preserve">          6,943 </w:t>
            </w:r>
          </w:p>
        </w:tc>
        <w:tc>
          <w:tcPr>
            <w:tcW w:w="1409"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b/>
                <w:bCs/>
                <w:color w:val="000000"/>
                <w:sz w:val="22"/>
                <w:szCs w:val="22"/>
                <w:lang w:val="en-US"/>
              </w:rPr>
            </w:pPr>
            <w:r w:rsidRPr="002D2DC8">
              <w:rPr>
                <w:rFonts w:ascii="Garamond" w:eastAsia="Times New Roman" w:hAnsi="Garamond"/>
                <w:b/>
                <w:bCs/>
                <w:color w:val="000000"/>
                <w:sz w:val="22"/>
                <w:szCs w:val="22"/>
                <w:lang w:val="en-US"/>
              </w:rPr>
              <w:t xml:space="preserve">          295 </w:t>
            </w:r>
          </w:p>
        </w:tc>
      </w:tr>
      <w:tr w:rsidR="002D2DC8" w:rsidRPr="002D2DC8" w:rsidTr="002D2DC8">
        <w:trPr>
          <w:trHeight w:val="205"/>
        </w:trPr>
        <w:tc>
          <w:tcPr>
            <w:tcW w:w="6584" w:type="dxa"/>
            <w:tcBorders>
              <w:top w:val="nil"/>
              <w:left w:val="single" w:sz="4" w:space="0" w:color="auto"/>
              <w:bottom w:val="single" w:sz="4" w:space="0" w:color="auto"/>
              <w:right w:val="nil"/>
            </w:tcBorders>
            <w:shd w:val="clear" w:color="auto" w:fill="auto"/>
            <w:vAlign w:val="center"/>
            <w:hideMark/>
          </w:tcPr>
          <w:p w:rsidR="002D2DC8" w:rsidRPr="002D2DC8" w:rsidRDefault="002D2DC8" w:rsidP="002D2DC8">
            <w:pPr>
              <w:rPr>
                <w:rFonts w:ascii="Garamond" w:eastAsia="Times New Roman" w:hAnsi="Garamond"/>
                <w:b/>
                <w:bCs/>
                <w:i/>
                <w:iCs/>
                <w:color w:val="000000"/>
                <w:sz w:val="22"/>
                <w:szCs w:val="22"/>
                <w:lang w:val="en-US"/>
              </w:rPr>
            </w:pPr>
            <w:r w:rsidRPr="002D2DC8">
              <w:rPr>
                <w:rFonts w:ascii="Garamond" w:eastAsia="Times New Roman" w:hAnsi="Garamond"/>
                <w:b/>
                <w:bCs/>
                <w:i/>
                <w:iCs/>
                <w:color w:val="000000"/>
                <w:sz w:val="22"/>
                <w:szCs w:val="22"/>
                <w:lang w:val="en-US"/>
              </w:rPr>
              <w:t>I. Equity Public Issue</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b/>
                <w:bCs/>
                <w:color w:val="000000"/>
                <w:sz w:val="22"/>
                <w:szCs w:val="22"/>
                <w:lang w:val="en-US"/>
              </w:rPr>
            </w:pPr>
            <w:r w:rsidRPr="002D2DC8">
              <w:rPr>
                <w:rFonts w:ascii="Garamond" w:eastAsia="Times New Roman" w:hAnsi="Garamond"/>
                <w:b/>
                <w:bCs/>
                <w:color w:val="000000"/>
                <w:sz w:val="22"/>
                <w:szCs w:val="22"/>
                <w:lang w:val="en-US"/>
              </w:rPr>
              <w:t xml:space="preserve">          4,149 </w:t>
            </w:r>
          </w:p>
        </w:tc>
        <w:tc>
          <w:tcPr>
            <w:tcW w:w="1409"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b/>
                <w:bCs/>
                <w:color w:val="000000"/>
                <w:sz w:val="22"/>
                <w:szCs w:val="22"/>
                <w:lang w:val="en-US"/>
              </w:rPr>
            </w:pPr>
            <w:r w:rsidRPr="002D2DC8">
              <w:rPr>
                <w:rFonts w:ascii="Garamond" w:eastAsia="Times New Roman" w:hAnsi="Garamond"/>
                <w:b/>
                <w:bCs/>
                <w:color w:val="000000"/>
                <w:sz w:val="22"/>
                <w:szCs w:val="22"/>
                <w:lang w:val="en-US"/>
              </w:rPr>
              <w:t xml:space="preserve">            34 </w:t>
            </w:r>
          </w:p>
        </w:tc>
      </w:tr>
      <w:tr w:rsidR="002D2DC8"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D2DC8" w:rsidRPr="002D2DC8" w:rsidRDefault="002D2DC8" w:rsidP="002D2DC8">
            <w:pPr>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a. IPOs (i+ii)</w:t>
            </w:r>
          </w:p>
        </w:tc>
        <w:tc>
          <w:tcPr>
            <w:tcW w:w="1562"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          4,047 </w:t>
            </w:r>
          </w:p>
        </w:tc>
        <w:tc>
          <w:tcPr>
            <w:tcW w:w="1409"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            34 </w:t>
            </w:r>
          </w:p>
        </w:tc>
      </w:tr>
      <w:tr w:rsidR="002D2DC8"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D2DC8" w:rsidRPr="002D2DC8" w:rsidRDefault="002D2DC8" w:rsidP="002D2DC8">
            <w:pPr>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    i. Main Board</w:t>
            </w:r>
          </w:p>
        </w:tc>
        <w:tc>
          <w:tcPr>
            <w:tcW w:w="1562"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4,039 </w:t>
            </w:r>
          </w:p>
        </w:tc>
        <w:tc>
          <w:tcPr>
            <w:tcW w:w="1409"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0 </w:t>
            </w:r>
          </w:p>
        </w:tc>
      </w:tr>
      <w:tr w:rsidR="002D2DC8"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D2DC8" w:rsidRPr="002D2DC8" w:rsidRDefault="002D2DC8" w:rsidP="002D2DC8">
            <w:pPr>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    ii. SME Platform</w:t>
            </w:r>
          </w:p>
        </w:tc>
        <w:tc>
          <w:tcPr>
            <w:tcW w:w="1562"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                8 </w:t>
            </w:r>
          </w:p>
        </w:tc>
        <w:tc>
          <w:tcPr>
            <w:tcW w:w="1409"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34 </w:t>
            </w:r>
          </w:p>
        </w:tc>
      </w:tr>
      <w:tr w:rsidR="002D2DC8"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D2DC8" w:rsidRPr="002D2DC8" w:rsidRDefault="002D2DC8" w:rsidP="002D2DC8">
            <w:pPr>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b. FPOs</w:t>
            </w:r>
          </w:p>
        </w:tc>
        <w:tc>
          <w:tcPr>
            <w:tcW w:w="1562"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0 </w:t>
            </w:r>
          </w:p>
        </w:tc>
        <w:tc>
          <w:tcPr>
            <w:tcW w:w="1409"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0 </w:t>
            </w:r>
          </w:p>
        </w:tc>
      </w:tr>
      <w:tr w:rsidR="002D2DC8"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D2DC8" w:rsidRPr="002D2DC8" w:rsidRDefault="002D2DC8" w:rsidP="002D2DC8">
            <w:pPr>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c. Equity Right Issue</w:t>
            </w:r>
          </w:p>
        </w:tc>
        <w:tc>
          <w:tcPr>
            <w:tcW w:w="1562"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102 </w:t>
            </w:r>
          </w:p>
        </w:tc>
        <w:tc>
          <w:tcPr>
            <w:tcW w:w="1409"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0 </w:t>
            </w:r>
          </w:p>
        </w:tc>
      </w:tr>
      <w:tr w:rsidR="002D2DC8" w:rsidRPr="002D2DC8" w:rsidTr="002D2DC8">
        <w:trPr>
          <w:trHeight w:val="205"/>
        </w:trPr>
        <w:tc>
          <w:tcPr>
            <w:tcW w:w="6584" w:type="dxa"/>
            <w:tcBorders>
              <w:top w:val="nil"/>
              <w:left w:val="single" w:sz="4" w:space="0" w:color="auto"/>
              <w:bottom w:val="single" w:sz="4" w:space="0" w:color="auto"/>
              <w:right w:val="nil"/>
            </w:tcBorders>
            <w:shd w:val="clear" w:color="auto" w:fill="auto"/>
            <w:vAlign w:val="center"/>
            <w:hideMark/>
          </w:tcPr>
          <w:p w:rsidR="002D2DC8" w:rsidRPr="002D2DC8" w:rsidRDefault="002D2DC8" w:rsidP="002D2DC8">
            <w:pPr>
              <w:rPr>
                <w:rFonts w:ascii="Garamond" w:eastAsia="Times New Roman" w:hAnsi="Garamond"/>
                <w:b/>
                <w:bCs/>
                <w:i/>
                <w:iCs/>
                <w:color w:val="000000"/>
                <w:sz w:val="22"/>
                <w:szCs w:val="22"/>
                <w:lang w:val="en-US"/>
              </w:rPr>
            </w:pPr>
            <w:r w:rsidRPr="002D2DC8">
              <w:rPr>
                <w:rFonts w:ascii="Garamond" w:eastAsia="Times New Roman" w:hAnsi="Garamond"/>
                <w:b/>
                <w:bCs/>
                <w:i/>
                <w:iCs/>
                <w:color w:val="000000"/>
                <w:sz w:val="22"/>
                <w:szCs w:val="22"/>
                <w:lang w:val="en-US"/>
              </w:rPr>
              <w:t xml:space="preserve">  II. Debt Public Issue </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3,122 </w:t>
            </w:r>
          </w:p>
        </w:tc>
        <w:tc>
          <w:tcPr>
            <w:tcW w:w="1409"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260 </w:t>
            </w:r>
          </w:p>
        </w:tc>
      </w:tr>
      <w:tr w:rsidR="002D2DC8"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D2DC8" w:rsidRPr="002D2DC8" w:rsidRDefault="002D2DC8" w:rsidP="002D2DC8">
            <w:pPr>
              <w:rPr>
                <w:rFonts w:ascii="Garamond" w:eastAsia="Times New Roman" w:hAnsi="Garamond"/>
                <w:b/>
                <w:bCs/>
                <w:i/>
                <w:iCs/>
                <w:color w:val="000000"/>
                <w:sz w:val="22"/>
                <w:szCs w:val="22"/>
                <w:lang w:val="en-US"/>
              </w:rPr>
            </w:pPr>
            <w:r w:rsidRPr="002D2DC8">
              <w:rPr>
                <w:rFonts w:ascii="Garamond" w:eastAsia="Times New Roman" w:hAnsi="Garamond"/>
                <w:b/>
                <w:bCs/>
                <w:i/>
                <w:iCs/>
                <w:color w:val="000000"/>
                <w:sz w:val="22"/>
                <w:szCs w:val="22"/>
                <w:lang w:val="en-US"/>
              </w:rPr>
              <w:t>B. Funds Mobilisation through Private Placement</w:t>
            </w:r>
          </w:p>
        </w:tc>
        <w:tc>
          <w:tcPr>
            <w:tcW w:w="1562"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b/>
                <w:bCs/>
                <w:color w:val="000000"/>
                <w:sz w:val="22"/>
                <w:szCs w:val="22"/>
                <w:lang w:val="en-US"/>
              </w:rPr>
            </w:pPr>
            <w:r w:rsidRPr="002D2DC8">
              <w:rPr>
                <w:rFonts w:ascii="Garamond" w:eastAsia="Times New Roman" w:hAnsi="Garamond"/>
                <w:b/>
                <w:bCs/>
                <w:color w:val="000000"/>
                <w:sz w:val="22"/>
                <w:szCs w:val="22"/>
                <w:lang w:val="en-US"/>
              </w:rPr>
              <w:t xml:space="preserve">        42,574 </w:t>
            </w:r>
          </w:p>
        </w:tc>
        <w:tc>
          <w:tcPr>
            <w:tcW w:w="1409"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b/>
                <w:bCs/>
                <w:color w:val="000000"/>
                <w:sz w:val="22"/>
                <w:szCs w:val="22"/>
                <w:lang w:val="en-US"/>
              </w:rPr>
            </w:pPr>
            <w:r w:rsidRPr="002D2DC8">
              <w:rPr>
                <w:rFonts w:ascii="Garamond" w:eastAsia="Times New Roman" w:hAnsi="Garamond"/>
                <w:b/>
                <w:bCs/>
                <w:color w:val="000000"/>
                <w:sz w:val="22"/>
                <w:szCs w:val="22"/>
                <w:lang w:val="en-US"/>
              </w:rPr>
              <w:t xml:space="preserve">      64,418 </w:t>
            </w:r>
          </w:p>
        </w:tc>
      </w:tr>
      <w:tr w:rsidR="002D2DC8"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D2DC8" w:rsidRPr="002D2DC8" w:rsidRDefault="002D2DC8" w:rsidP="002D2DC8">
            <w:pPr>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1. QIP/IPP</w:t>
            </w:r>
          </w:p>
        </w:tc>
        <w:tc>
          <w:tcPr>
            <w:tcW w:w="1562"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1,930 </w:t>
            </w:r>
          </w:p>
        </w:tc>
        <w:tc>
          <w:tcPr>
            <w:tcW w:w="1409"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      14,300 </w:t>
            </w:r>
          </w:p>
        </w:tc>
      </w:tr>
      <w:tr w:rsidR="002D2DC8"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D2DC8" w:rsidRPr="002D2DC8" w:rsidRDefault="002D2DC8" w:rsidP="002D2DC8">
            <w:pPr>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2. Preferential Allotment</w:t>
            </w:r>
          </w:p>
        </w:tc>
        <w:tc>
          <w:tcPr>
            <w:tcW w:w="1562"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            335 </w:t>
            </w:r>
          </w:p>
        </w:tc>
        <w:tc>
          <w:tcPr>
            <w:tcW w:w="1409"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        1,489 </w:t>
            </w:r>
          </w:p>
        </w:tc>
      </w:tr>
      <w:tr w:rsidR="002D2DC8"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D2DC8" w:rsidRPr="002D2DC8" w:rsidRDefault="002D2DC8" w:rsidP="002D2DC8">
            <w:pPr>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3. Private Placement of Debt</w:t>
            </w:r>
          </w:p>
        </w:tc>
        <w:tc>
          <w:tcPr>
            <w:tcW w:w="1562"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        40,309 </w:t>
            </w:r>
          </w:p>
        </w:tc>
        <w:tc>
          <w:tcPr>
            <w:tcW w:w="1409"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color w:val="000000"/>
                <w:sz w:val="22"/>
                <w:szCs w:val="22"/>
                <w:lang w:val="en-US"/>
              </w:rPr>
            </w:pPr>
            <w:r w:rsidRPr="002D2DC8">
              <w:rPr>
                <w:rFonts w:ascii="Garamond" w:eastAsia="Times New Roman" w:hAnsi="Garamond"/>
                <w:color w:val="000000"/>
                <w:sz w:val="22"/>
                <w:szCs w:val="22"/>
                <w:lang w:val="en-US"/>
              </w:rPr>
              <w:t xml:space="preserve">      48,629 </w:t>
            </w:r>
          </w:p>
        </w:tc>
      </w:tr>
      <w:tr w:rsidR="002D2DC8"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2D2DC8" w:rsidRPr="002D2DC8" w:rsidRDefault="002D2DC8" w:rsidP="002D2DC8">
            <w:pPr>
              <w:rPr>
                <w:rFonts w:ascii="Garamond" w:eastAsia="Times New Roman" w:hAnsi="Garamond"/>
                <w:b/>
                <w:bCs/>
                <w:color w:val="000000"/>
                <w:sz w:val="22"/>
                <w:szCs w:val="22"/>
                <w:lang w:val="en-US"/>
              </w:rPr>
            </w:pPr>
            <w:r w:rsidRPr="002D2DC8">
              <w:rPr>
                <w:rFonts w:ascii="Garamond" w:eastAsia="Times New Roman" w:hAnsi="Garamond"/>
                <w:b/>
                <w:bCs/>
                <w:color w:val="000000"/>
                <w:sz w:val="22"/>
                <w:szCs w:val="22"/>
                <w:lang w:val="en-US"/>
              </w:rPr>
              <w:t>Total Funds Mobilised (A+B)</w:t>
            </w:r>
          </w:p>
        </w:tc>
        <w:tc>
          <w:tcPr>
            <w:tcW w:w="1562"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b/>
                <w:bCs/>
                <w:color w:val="000000"/>
                <w:sz w:val="22"/>
                <w:szCs w:val="22"/>
                <w:lang w:val="en-US"/>
              </w:rPr>
            </w:pPr>
            <w:r w:rsidRPr="002D2DC8">
              <w:rPr>
                <w:rFonts w:ascii="Garamond" w:eastAsia="Times New Roman" w:hAnsi="Garamond"/>
                <w:b/>
                <w:bCs/>
                <w:color w:val="000000"/>
                <w:sz w:val="22"/>
                <w:szCs w:val="22"/>
                <w:lang w:val="en-US"/>
              </w:rPr>
              <w:t xml:space="preserve">        49,517 </w:t>
            </w:r>
          </w:p>
        </w:tc>
        <w:tc>
          <w:tcPr>
            <w:tcW w:w="1409"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Garamond" w:eastAsia="Times New Roman" w:hAnsi="Garamond"/>
                <w:b/>
                <w:bCs/>
                <w:color w:val="000000"/>
                <w:sz w:val="22"/>
                <w:szCs w:val="22"/>
                <w:lang w:val="en-US"/>
              </w:rPr>
            </w:pPr>
            <w:r w:rsidRPr="002D2DC8">
              <w:rPr>
                <w:rFonts w:ascii="Garamond" w:eastAsia="Times New Roman" w:hAnsi="Garamond"/>
                <w:b/>
                <w:bCs/>
                <w:color w:val="000000"/>
                <w:sz w:val="22"/>
                <w:szCs w:val="22"/>
                <w:lang w:val="en-US"/>
              </w:rPr>
              <w:t xml:space="preserve">      64,713 </w:t>
            </w:r>
          </w:p>
        </w:tc>
      </w:tr>
    </w:tbl>
    <w:p w:rsidR="003F71F4" w:rsidRPr="009A0EB3" w:rsidRDefault="003F71F4" w:rsidP="003F71F4">
      <w:pPr>
        <w:widowControl w:val="0"/>
        <w:contextualSpacing/>
        <w:jc w:val="both"/>
        <w:rPr>
          <w:rFonts w:ascii="Palatino Linotype" w:hAnsi="Palatino Linotype"/>
          <w:b/>
          <w:sz w:val="18"/>
          <w:szCs w:val="18"/>
        </w:rPr>
      </w:pPr>
      <w:r w:rsidRPr="009A0EB3">
        <w:rPr>
          <w:rFonts w:ascii="Palatino Linotype" w:hAnsi="Palatino Linotype"/>
          <w:b/>
          <w:sz w:val="18"/>
          <w:szCs w:val="18"/>
        </w:rPr>
        <w:t>Notes: Current month data are provisional</w:t>
      </w:r>
    </w:p>
    <w:p w:rsidR="003F71F4" w:rsidRPr="009A0EB3" w:rsidRDefault="003F71F4" w:rsidP="003F71F4">
      <w:pPr>
        <w:widowControl w:val="0"/>
        <w:contextualSpacing/>
        <w:jc w:val="both"/>
        <w:rPr>
          <w:rFonts w:ascii="Palatino Linotype" w:hAnsi="Palatino Linotype"/>
          <w:b/>
          <w:sz w:val="18"/>
          <w:szCs w:val="18"/>
        </w:rPr>
      </w:pPr>
      <w:r w:rsidRPr="009A0EB3">
        <w:rPr>
          <w:rFonts w:ascii="Palatino Linotype" w:hAnsi="Palatino Linotype"/>
          <w:b/>
          <w:sz w:val="18"/>
          <w:szCs w:val="18"/>
        </w:rPr>
        <w:t>Source: SEBI, NSE, BSE and MSEI</w:t>
      </w:r>
    </w:p>
    <w:p w:rsidR="003F71F4" w:rsidRDefault="003F71F4" w:rsidP="0032036A">
      <w:pPr>
        <w:jc w:val="both"/>
        <w:rPr>
          <w:rFonts w:ascii="Palatino Linotype" w:hAnsi="Palatino Linotype"/>
          <w:sz w:val="22"/>
          <w:szCs w:val="22"/>
          <w:shd w:val="clear" w:color="auto" w:fill="FFFFFF"/>
        </w:rPr>
      </w:pPr>
    </w:p>
    <w:p w:rsidR="00DC3596" w:rsidRPr="00DC3596" w:rsidRDefault="003F71F4" w:rsidP="001F078D">
      <w:pPr>
        <w:pStyle w:val="ListParagraph"/>
        <w:numPr>
          <w:ilvl w:val="0"/>
          <w:numId w:val="13"/>
        </w:numPr>
        <w:ind w:left="360"/>
        <w:jc w:val="both"/>
        <w:rPr>
          <w:rFonts w:ascii="Palatino Linotype" w:eastAsia="Times New Roman" w:hAnsi="Palatino Linotype"/>
          <w:color w:val="000000"/>
          <w:sz w:val="22"/>
          <w:szCs w:val="22"/>
        </w:rPr>
      </w:pPr>
      <w:r w:rsidRPr="006677F4">
        <w:rPr>
          <w:rFonts w:ascii="Palatino Linotype" w:hAnsi="Palatino Linotype"/>
          <w:sz w:val="22"/>
          <w:szCs w:val="22"/>
          <w:shd w:val="clear" w:color="auto" w:fill="FFFFFF"/>
        </w:rPr>
        <w:t xml:space="preserve">During </w:t>
      </w:r>
      <w:r w:rsidR="009846CF">
        <w:rPr>
          <w:rFonts w:ascii="Palatino Linotype" w:hAnsi="Palatino Linotype"/>
          <w:sz w:val="22"/>
          <w:szCs w:val="22"/>
          <w:shd w:val="clear" w:color="auto" w:fill="FFFFFF"/>
        </w:rPr>
        <w:t>September</w:t>
      </w:r>
      <w:r w:rsidRPr="006677F4">
        <w:rPr>
          <w:rFonts w:ascii="Palatino Linotype" w:hAnsi="Palatino Linotype"/>
          <w:sz w:val="22"/>
          <w:szCs w:val="22"/>
          <w:shd w:val="clear" w:color="auto" w:fill="FFFFFF"/>
        </w:rPr>
        <w:t xml:space="preserve"> 2019, there w</w:t>
      </w:r>
      <w:r w:rsidR="008C4646" w:rsidRPr="006677F4">
        <w:rPr>
          <w:rFonts w:ascii="Palatino Linotype" w:hAnsi="Palatino Linotype"/>
          <w:sz w:val="22"/>
          <w:szCs w:val="22"/>
          <w:shd w:val="clear" w:color="auto" w:fill="FFFFFF"/>
        </w:rPr>
        <w:t>ere</w:t>
      </w:r>
      <w:r w:rsidRPr="006677F4">
        <w:rPr>
          <w:rFonts w:ascii="Palatino Linotype" w:hAnsi="Palatino Linotype"/>
          <w:sz w:val="22"/>
          <w:szCs w:val="22"/>
          <w:shd w:val="clear" w:color="auto" w:fill="FFFFFF"/>
        </w:rPr>
        <w:t xml:space="preserve"> </w:t>
      </w:r>
      <w:r w:rsidR="009846CF">
        <w:rPr>
          <w:rFonts w:ascii="Palatino Linotype" w:hAnsi="Palatino Linotype"/>
          <w:sz w:val="22"/>
          <w:szCs w:val="22"/>
          <w:shd w:val="clear" w:color="auto" w:fill="FFFFFF"/>
        </w:rPr>
        <w:t xml:space="preserve">five public </w:t>
      </w:r>
      <w:r w:rsidRPr="006677F4">
        <w:rPr>
          <w:rFonts w:ascii="Palatino Linotype" w:hAnsi="Palatino Linotype"/>
          <w:sz w:val="22"/>
          <w:szCs w:val="22"/>
          <w:shd w:val="clear" w:color="auto" w:fill="FFFFFF"/>
        </w:rPr>
        <w:t>equity issuance (</w:t>
      </w:r>
      <w:r w:rsidR="009846CF">
        <w:rPr>
          <w:rFonts w:ascii="Palatino Linotype" w:hAnsi="Palatino Linotype"/>
          <w:sz w:val="22"/>
          <w:szCs w:val="22"/>
          <w:shd w:val="clear" w:color="auto" w:fill="FFFFFF"/>
        </w:rPr>
        <w:t>all the</w:t>
      </w:r>
      <w:r w:rsidRPr="006677F4">
        <w:rPr>
          <w:rFonts w:ascii="Palatino Linotype" w:hAnsi="Palatino Linotype"/>
          <w:sz w:val="22"/>
          <w:szCs w:val="22"/>
          <w:shd w:val="clear" w:color="auto" w:fill="FFFFFF"/>
        </w:rPr>
        <w:t xml:space="preserve"> issuance</w:t>
      </w:r>
      <w:r w:rsidR="009846CF">
        <w:rPr>
          <w:rFonts w:ascii="Palatino Linotype" w:hAnsi="Palatino Linotype"/>
          <w:sz w:val="22"/>
          <w:szCs w:val="22"/>
          <w:shd w:val="clear" w:color="auto" w:fill="FFFFFF"/>
        </w:rPr>
        <w:t>s</w:t>
      </w:r>
      <w:r w:rsidRPr="006677F4">
        <w:rPr>
          <w:rFonts w:ascii="Palatino Linotype" w:hAnsi="Palatino Linotype"/>
          <w:sz w:val="22"/>
          <w:szCs w:val="22"/>
          <w:shd w:val="clear" w:color="auto" w:fill="FFFFFF"/>
        </w:rPr>
        <w:t xml:space="preserve"> were at SME platform) </w:t>
      </w:r>
      <w:r w:rsidR="00A47F97" w:rsidRPr="006677F4">
        <w:rPr>
          <w:rFonts w:ascii="Palatino Linotype" w:hAnsi="Palatino Linotype"/>
          <w:sz w:val="22"/>
          <w:szCs w:val="22"/>
          <w:shd w:val="clear" w:color="auto" w:fill="FFFFFF"/>
        </w:rPr>
        <w:t xml:space="preserve">mobilizing </w:t>
      </w:r>
      <w:r w:rsidR="006446D3" w:rsidRPr="006446D3">
        <w:rPr>
          <w:rFonts w:ascii="Rupee Foradian" w:hAnsi="Rupee Foradian"/>
          <w:b/>
          <w:szCs w:val="22"/>
          <w:shd w:val="clear" w:color="auto" w:fill="FFFFFF"/>
        </w:rPr>
        <w:t>`</w:t>
      </w:r>
      <w:r w:rsidR="006677F4" w:rsidRPr="006677F4">
        <w:rPr>
          <w:rFonts w:ascii="Palatino Linotype" w:hAnsi="Palatino Linotype"/>
          <w:sz w:val="22"/>
          <w:szCs w:val="22"/>
          <w:shd w:val="clear" w:color="auto" w:fill="FFFFFF"/>
        </w:rPr>
        <w:t xml:space="preserve"> </w:t>
      </w:r>
      <w:r w:rsidR="009846CF">
        <w:rPr>
          <w:rFonts w:ascii="Palatino Linotype" w:eastAsia="Times New Roman" w:hAnsi="Palatino Linotype"/>
          <w:color w:val="000000"/>
          <w:sz w:val="22"/>
          <w:szCs w:val="22"/>
        </w:rPr>
        <w:t>34</w:t>
      </w:r>
      <w:r w:rsidR="006677F4" w:rsidRPr="006677F4">
        <w:rPr>
          <w:rFonts w:ascii="Palatino Linotype" w:eastAsia="Times New Roman" w:hAnsi="Palatino Linotype"/>
          <w:color w:val="000000"/>
          <w:sz w:val="22"/>
          <w:szCs w:val="22"/>
        </w:rPr>
        <w:t xml:space="preserve"> </w:t>
      </w:r>
      <w:r w:rsidRPr="006677F4">
        <w:rPr>
          <w:rFonts w:ascii="Palatino Linotype" w:hAnsi="Palatino Linotype"/>
          <w:sz w:val="22"/>
          <w:szCs w:val="22"/>
          <w:shd w:val="clear" w:color="auto" w:fill="FFFFFF"/>
        </w:rPr>
        <w:t xml:space="preserve">crore as compared to </w:t>
      </w:r>
      <w:r w:rsidR="009846CF" w:rsidRPr="006677F4">
        <w:rPr>
          <w:rFonts w:ascii="Palatino Linotype" w:hAnsi="Palatino Linotype"/>
          <w:sz w:val="22"/>
          <w:szCs w:val="22"/>
          <w:shd w:val="clear" w:color="auto" w:fill="FFFFFF"/>
        </w:rPr>
        <w:t xml:space="preserve">four public equity </w:t>
      </w:r>
      <w:r w:rsidR="006446D3" w:rsidRPr="006677F4">
        <w:rPr>
          <w:rFonts w:ascii="Palatino Linotype" w:hAnsi="Palatino Linotype"/>
          <w:sz w:val="22"/>
          <w:szCs w:val="22"/>
          <w:shd w:val="clear" w:color="auto" w:fill="FFFFFF"/>
        </w:rPr>
        <w:t>issuance mobilizing</w:t>
      </w:r>
      <w:r w:rsidR="009846CF" w:rsidRPr="006677F4">
        <w:rPr>
          <w:rFonts w:ascii="Palatino Linotype" w:hAnsi="Palatino Linotype"/>
          <w:sz w:val="22"/>
          <w:szCs w:val="22"/>
          <w:shd w:val="clear" w:color="auto" w:fill="FFFFFF"/>
        </w:rPr>
        <w:t xml:space="preserve"> </w:t>
      </w:r>
      <w:r w:rsidR="006446D3" w:rsidRPr="006446D3">
        <w:rPr>
          <w:rFonts w:ascii="Rupee Foradian" w:hAnsi="Rupee Foradian"/>
          <w:b/>
          <w:szCs w:val="22"/>
          <w:shd w:val="clear" w:color="auto" w:fill="FFFFFF"/>
        </w:rPr>
        <w:t>`</w:t>
      </w:r>
      <w:r w:rsidR="009846CF" w:rsidRPr="006677F4">
        <w:rPr>
          <w:rFonts w:ascii="Palatino Linotype" w:hAnsi="Palatino Linotype"/>
          <w:sz w:val="22"/>
          <w:szCs w:val="22"/>
          <w:shd w:val="clear" w:color="auto" w:fill="FFFFFF"/>
        </w:rPr>
        <w:t xml:space="preserve"> </w:t>
      </w:r>
      <w:r w:rsidR="009846CF" w:rsidRPr="006677F4">
        <w:rPr>
          <w:rFonts w:ascii="Palatino Linotype" w:eastAsia="Times New Roman" w:hAnsi="Palatino Linotype"/>
          <w:color w:val="000000"/>
          <w:sz w:val="22"/>
          <w:szCs w:val="22"/>
        </w:rPr>
        <w:t xml:space="preserve">4,047 </w:t>
      </w:r>
      <w:r w:rsidR="009846CF" w:rsidRPr="006677F4">
        <w:rPr>
          <w:rFonts w:ascii="Palatino Linotype" w:hAnsi="Palatino Linotype"/>
          <w:sz w:val="22"/>
          <w:szCs w:val="22"/>
          <w:shd w:val="clear" w:color="auto" w:fill="FFFFFF"/>
        </w:rPr>
        <w:t xml:space="preserve">crore </w:t>
      </w:r>
      <w:r w:rsidRPr="006677F4">
        <w:rPr>
          <w:rFonts w:ascii="Palatino Linotype" w:hAnsi="Palatino Linotype"/>
          <w:sz w:val="22"/>
          <w:szCs w:val="22"/>
          <w:shd w:val="clear" w:color="auto" w:fill="FFFFFF"/>
        </w:rPr>
        <w:t xml:space="preserve">in </w:t>
      </w:r>
      <w:r w:rsidR="009846CF">
        <w:rPr>
          <w:rFonts w:ascii="Palatino Linotype" w:hAnsi="Palatino Linotype"/>
          <w:sz w:val="22"/>
          <w:szCs w:val="22"/>
          <w:shd w:val="clear" w:color="auto" w:fill="FFFFFF"/>
        </w:rPr>
        <w:t>August</w:t>
      </w:r>
      <w:r w:rsidR="00DC3596">
        <w:rPr>
          <w:rFonts w:ascii="Palatino Linotype" w:hAnsi="Palatino Linotype"/>
          <w:sz w:val="22"/>
          <w:szCs w:val="22"/>
          <w:shd w:val="clear" w:color="auto" w:fill="FFFFFF"/>
        </w:rPr>
        <w:t xml:space="preserve"> 2019.</w:t>
      </w:r>
    </w:p>
    <w:p w:rsidR="003F71F4" w:rsidRPr="00DC3596" w:rsidRDefault="009846CF" w:rsidP="001F078D">
      <w:pPr>
        <w:pStyle w:val="ListParagraph"/>
        <w:numPr>
          <w:ilvl w:val="0"/>
          <w:numId w:val="13"/>
        </w:numPr>
        <w:ind w:left="360"/>
        <w:jc w:val="both"/>
        <w:rPr>
          <w:rFonts w:ascii="Palatino Linotype" w:eastAsia="Times New Roman" w:hAnsi="Palatino Linotype"/>
          <w:color w:val="000000"/>
          <w:sz w:val="22"/>
          <w:szCs w:val="22"/>
        </w:rPr>
      </w:pPr>
      <w:r>
        <w:rPr>
          <w:rFonts w:ascii="Palatino Linotype" w:hAnsi="Palatino Linotype"/>
          <w:sz w:val="22"/>
          <w:szCs w:val="22"/>
          <w:shd w:val="clear" w:color="auto" w:fill="FFFFFF"/>
        </w:rPr>
        <w:t xml:space="preserve">During September 2019, </w:t>
      </w:r>
      <w:r w:rsidRPr="00DC3596">
        <w:rPr>
          <w:rFonts w:ascii="Palatino Linotype" w:hAnsi="Palatino Linotype"/>
          <w:sz w:val="22"/>
          <w:szCs w:val="22"/>
          <w:shd w:val="clear" w:color="auto" w:fill="FFFFFF"/>
        </w:rPr>
        <w:t xml:space="preserve">there </w:t>
      </w:r>
      <w:r w:rsidR="00D86166" w:rsidRPr="00DC3596">
        <w:rPr>
          <w:rFonts w:ascii="Palatino Linotype" w:hAnsi="Palatino Linotype"/>
          <w:sz w:val="22"/>
          <w:szCs w:val="22"/>
          <w:shd w:val="clear" w:color="auto" w:fill="FFFFFF"/>
        </w:rPr>
        <w:t xml:space="preserve">was </w:t>
      </w:r>
      <w:r>
        <w:rPr>
          <w:rFonts w:ascii="Palatino Linotype" w:hAnsi="Palatino Linotype"/>
          <w:sz w:val="22"/>
          <w:szCs w:val="22"/>
          <w:shd w:val="clear" w:color="auto" w:fill="FFFFFF"/>
        </w:rPr>
        <w:t xml:space="preserve">no right issue as against </w:t>
      </w:r>
      <w:r w:rsidR="00D86166" w:rsidRPr="00DC3596">
        <w:rPr>
          <w:rFonts w:ascii="Palatino Linotype" w:hAnsi="Palatino Linotype"/>
          <w:sz w:val="22"/>
          <w:szCs w:val="22"/>
          <w:shd w:val="clear" w:color="auto" w:fill="FFFFFF"/>
        </w:rPr>
        <w:t xml:space="preserve">one </w:t>
      </w:r>
      <w:r w:rsidR="006677F4" w:rsidRPr="00DC3596">
        <w:rPr>
          <w:rFonts w:ascii="Palatino Linotype" w:hAnsi="Palatino Linotype"/>
          <w:sz w:val="22"/>
          <w:szCs w:val="22"/>
          <w:shd w:val="clear" w:color="auto" w:fill="FFFFFF"/>
        </w:rPr>
        <w:t>right issue</w:t>
      </w:r>
      <w:r w:rsidR="003F71F4" w:rsidRPr="00DC3596">
        <w:rPr>
          <w:rFonts w:ascii="Palatino Linotype" w:hAnsi="Palatino Linotype"/>
          <w:sz w:val="22"/>
          <w:szCs w:val="22"/>
          <w:shd w:val="clear" w:color="auto" w:fill="FFFFFF"/>
        </w:rPr>
        <w:t xml:space="preserve"> </w:t>
      </w:r>
      <w:r w:rsidR="00D86166" w:rsidRPr="00DC3596">
        <w:rPr>
          <w:rFonts w:ascii="Palatino Linotype" w:hAnsi="Palatino Linotype"/>
          <w:sz w:val="22"/>
          <w:szCs w:val="22"/>
          <w:shd w:val="clear" w:color="auto" w:fill="FFFFFF"/>
        </w:rPr>
        <w:t>for</w:t>
      </w:r>
      <w:r w:rsidR="003F71F4" w:rsidRPr="00DC3596">
        <w:rPr>
          <w:rFonts w:ascii="Palatino Linotype" w:hAnsi="Palatino Linotype"/>
          <w:sz w:val="22"/>
          <w:szCs w:val="22"/>
          <w:shd w:val="clear" w:color="auto" w:fill="FFFFFF"/>
        </w:rPr>
        <w:t xml:space="preserve"> </w:t>
      </w:r>
      <w:r w:rsidR="006446D3" w:rsidRPr="006446D3">
        <w:rPr>
          <w:rFonts w:ascii="Rupee Foradian" w:hAnsi="Rupee Foradian"/>
          <w:b/>
          <w:szCs w:val="22"/>
          <w:shd w:val="clear" w:color="auto" w:fill="FFFFFF"/>
        </w:rPr>
        <w:t>`</w:t>
      </w:r>
      <w:r w:rsidR="003F71F4" w:rsidRPr="00DC3596">
        <w:rPr>
          <w:rFonts w:ascii="Palatino Linotype" w:hAnsi="Palatino Linotype"/>
          <w:sz w:val="22"/>
          <w:szCs w:val="22"/>
          <w:shd w:val="clear" w:color="auto" w:fill="FFFFFF"/>
        </w:rPr>
        <w:t xml:space="preserve"> </w:t>
      </w:r>
      <w:r w:rsidR="006677F4" w:rsidRPr="00DC3596">
        <w:rPr>
          <w:rFonts w:ascii="Palatino Linotype" w:eastAsia="Times New Roman" w:hAnsi="Palatino Linotype" w:cs="Arial"/>
          <w:color w:val="000000"/>
          <w:sz w:val="22"/>
          <w:szCs w:val="22"/>
        </w:rPr>
        <w:t>102</w:t>
      </w:r>
      <w:r w:rsidR="003F71F4" w:rsidRPr="00DC3596">
        <w:rPr>
          <w:rFonts w:ascii="Palatino Linotype" w:eastAsia="Times New Roman" w:hAnsi="Palatino Linotype" w:cs="Arial"/>
          <w:color w:val="000000"/>
          <w:sz w:val="22"/>
          <w:szCs w:val="22"/>
        </w:rPr>
        <w:t xml:space="preserve"> crore in </w:t>
      </w:r>
      <w:r w:rsidR="006677F4" w:rsidRPr="00DC3596">
        <w:rPr>
          <w:rFonts w:ascii="Palatino Linotype" w:eastAsia="Times New Roman" w:hAnsi="Palatino Linotype" w:cs="Arial"/>
          <w:color w:val="000000"/>
          <w:sz w:val="22"/>
          <w:szCs w:val="22"/>
        </w:rPr>
        <w:t>August</w:t>
      </w:r>
      <w:r w:rsidR="003F71F4" w:rsidRPr="00DC3596">
        <w:rPr>
          <w:rFonts w:ascii="Palatino Linotype" w:eastAsia="Times New Roman" w:hAnsi="Palatino Linotype" w:cs="Arial"/>
          <w:color w:val="000000"/>
          <w:sz w:val="22"/>
          <w:szCs w:val="22"/>
        </w:rPr>
        <w:t xml:space="preserve"> 2019.</w:t>
      </w:r>
    </w:p>
    <w:p w:rsidR="0032036A" w:rsidRPr="006677F4" w:rsidRDefault="003F71F4" w:rsidP="001F078D">
      <w:pPr>
        <w:pStyle w:val="ListParagraph"/>
        <w:numPr>
          <w:ilvl w:val="0"/>
          <w:numId w:val="13"/>
        </w:numPr>
        <w:ind w:left="360"/>
        <w:jc w:val="both"/>
        <w:rPr>
          <w:rFonts w:ascii="Palatino Linotype" w:hAnsi="Palatino Linotype"/>
          <w:sz w:val="22"/>
          <w:szCs w:val="22"/>
          <w:shd w:val="clear" w:color="auto" w:fill="FFFFFF"/>
        </w:rPr>
      </w:pPr>
      <w:r w:rsidRPr="006677F4">
        <w:rPr>
          <w:rFonts w:ascii="Palatino Linotype" w:hAnsi="Palatino Linotype"/>
          <w:sz w:val="22"/>
          <w:szCs w:val="22"/>
          <w:shd w:val="clear" w:color="auto" w:fill="FFFFFF"/>
        </w:rPr>
        <w:t xml:space="preserve">During </w:t>
      </w:r>
      <w:r w:rsidR="009846CF">
        <w:rPr>
          <w:rFonts w:ascii="Palatino Linotype" w:hAnsi="Palatino Linotype"/>
          <w:sz w:val="22"/>
          <w:szCs w:val="22"/>
          <w:shd w:val="clear" w:color="auto" w:fill="FFFFFF"/>
        </w:rPr>
        <w:t>September</w:t>
      </w:r>
      <w:r w:rsidRPr="006677F4">
        <w:rPr>
          <w:rFonts w:ascii="Palatino Linotype" w:hAnsi="Palatino Linotype"/>
          <w:sz w:val="22"/>
          <w:szCs w:val="22"/>
          <w:shd w:val="clear" w:color="auto" w:fill="FFFFFF"/>
        </w:rPr>
        <w:t xml:space="preserve"> 2019, the </w:t>
      </w:r>
      <w:r w:rsidR="0032036A" w:rsidRPr="006677F4">
        <w:rPr>
          <w:rFonts w:ascii="Palatino Linotype" w:hAnsi="Palatino Linotype"/>
          <w:sz w:val="22"/>
          <w:szCs w:val="22"/>
          <w:shd w:val="clear" w:color="auto" w:fill="FFFFFF"/>
        </w:rPr>
        <w:t xml:space="preserve">amount raised through private placement of equity (i.e. preferential allotment and QIP route) </w:t>
      </w:r>
      <w:r w:rsidRPr="006677F4">
        <w:rPr>
          <w:rFonts w:ascii="Palatino Linotype" w:hAnsi="Palatino Linotype"/>
          <w:sz w:val="22"/>
          <w:szCs w:val="22"/>
          <w:shd w:val="clear" w:color="auto" w:fill="FFFFFF"/>
        </w:rPr>
        <w:t xml:space="preserve">stood at </w:t>
      </w:r>
      <w:r w:rsidR="006446D3" w:rsidRPr="006446D3">
        <w:rPr>
          <w:rFonts w:ascii="Rupee Foradian" w:hAnsi="Rupee Foradian"/>
          <w:b/>
          <w:szCs w:val="22"/>
          <w:shd w:val="clear" w:color="auto" w:fill="FFFFFF"/>
        </w:rPr>
        <w:t>`</w:t>
      </w:r>
      <w:r w:rsidR="006677F4" w:rsidRPr="006677F4">
        <w:rPr>
          <w:rFonts w:ascii="Palatino Linotype" w:hAnsi="Palatino Linotype"/>
          <w:sz w:val="22"/>
          <w:szCs w:val="22"/>
          <w:shd w:val="clear" w:color="auto" w:fill="FFFFFF"/>
        </w:rPr>
        <w:t xml:space="preserve"> </w:t>
      </w:r>
      <w:r w:rsidR="009846CF">
        <w:rPr>
          <w:rFonts w:ascii="Palatino Linotype" w:hAnsi="Palatino Linotype"/>
          <w:sz w:val="22"/>
          <w:szCs w:val="22"/>
          <w:shd w:val="clear" w:color="auto" w:fill="FFFFFF"/>
        </w:rPr>
        <w:t>15,789</w:t>
      </w:r>
      <w:r w:rsidR="006677F4" w:rsidRPr="006677F4">
        <w:rPr>
          <w:rFonts w:ascii="Palatino Linotype" w:hAnsi="Palatino Linotype"/>
          <w:sz w:val="22"/>
          <w:szCs w:val="22"/>
          <w:shd w:val="clear" w:color="auto" w:fill="FFFFFF"/>
        </w:rPr>
        <w:t xml:space="preserve"> </w:t>
      </w:r>
      <w:r w:rsidRPr="006677F4">
        <w:rPr>
          <w:rFonts w:ascii="Palatino Linotype" w:hAnsi="Palatino Linotype"/>
          <w:sz w:val="22"/>
          <w:szCs w:val="22"/>
          <w:shd w:val="clear" w:color="auto" w:fill="FFFFFF"/>
        </w:rPr>
        <w:t xml:space="preserve">crore </w:t>
      </w:r>
      <w:r w:rsidR="00B407F7" w:rsidRPr="006677F4">
        <w:rPr>
          <w:rFonts w:ascii="Palatino Linotype" w:hAnsi="Palatino Linotype"/>
          <w:sz w:val="22"/>
          <w:szCs w:val="22"/>
          <w:shd w:val="clear" w:color="auto" w:fill="FFFFFF"/>
        </w:rPr>
        <w:t xml:space="preserve">comparing with </w:t>
      </w:r>
      <w:r w:rsidR="006446D3" w:rsidRPr="006446D3">
        <w:rPr>
          <w:rFonts w:ascii="Rupee Foradian" w:hAnsi="Rupee Foradian"/>
          <w:b/>
          <w:szCs w:val="22"/>
          <w:shd w:val="clear" w:color="auto" w:fill="FFFFFF"/>
        </w:rPr>
        <w:t>`</w:t>
      </w:r>
      <w:r w:rsidR="0032036A" w:rsidRPr="006677F4">
        <w:rPr>
          <w:rFonts w:ascii="Palatino Linotype" w:hAnsi="Palatino Linotype"/>
          <w:b/>
          <w:sz w:val="22"/>
          <w:szCs w:val="22"/>
          <w:shd w:val="clear" w:color="auto" w:fill="FFFFFF"/>
        </w:rPr>
        <w:t xml:space="preserve"> </w:t>
      </w:r>
      <w:r w:rsidR="009846CF" w:rsidRPr="006677F4">
        <w:rPr>
          <w:rFonts w:ascii="Palatino Linotype" w:hAnsi="Palatino Linotype"/>
          <w:sz w:val="22"/>
          <w:szCs w:val="22"/>
          <w:shd w:val="clear" w:color="auto" w:fill="FFFFFF"/>
        </w:rPr>
        <w:t>2,265</w:t>
      </w:r>
      <w:r w:rsidR="006677F4" w:rsidRPr="006677F4">
        <w:rPr>
          <w:rFonts w:ascii="Palatino Linotype" w:hAnsi="Palatino Linotype"/>
          <w:sz w:val="22"/>
          <w:szCs w:val="22"/>
          <w:shd w:val="clear" w:color="auto" w:fill="FFFFFF"/>
        </w:rPr>
        <w:t xml:space="preserve"> </w:t>
      </w:r>
      <w:r w:rsidR="0032036A" w:rsidRPr="006677F4">
        <w:rPr>
          <w:rFonts w:ascii="Palatino Linotype" w:hAnsi="Palatino Linotype"/>
          <w:sz w:val="22"/>
          <w:szCs w:val="22"/>
          <w:shd w:val="clear" w:color="auto" w:fill="FFFFFF"/>
        </w:rPr>
        <w:t>crore</w:t>
      </w:r>
      <w:r w:rsidRPr="006677F4">
        <w:rPr>
          <w:rFonts w:ascii="Palatino Linotype" w:hAnsi="Palatino Linotype"/>
          <w:sz w:val="22"/>
          <w:szCs w:val="22"/>
          <w:shd w:val="clear" w:color="auto" w:fill="FFFFFF"/>
        </w:rPr>
        <w:t xml:space="preserve"> in </w:t>
      </w:r>
      <w:r w:rsidR="009846CF">
        <w:rPr>
          <w:rFonts w:ascii="Palatino Linotype" w:hAnsi="Palatino Linotype"/>
          <w:sz w:val="22"/>
          <w:szCs w:val="22"/>
          <w:shd w:val="clear" w:color="auto" w:fill="FFFFFF"/>
        </w:rPr>
        <w:t>August</w:t>
      </w:r>
      <w:r w:rsidRPr="006677F4">
        <w:rPr>
          <w:rFonts w:ascii="Palatino Linotype" w:hAnsi="Palatino Linotype"/>
          <w:sz w:val="22"/>
          <w:szCs w:val="22"/>
          <w:shd w:val="clear" w:color="auto" w:fill="FFFFFF"/>
        </w:rPr>
        <w:t xml:space="preserve"> 2019</w:t>
      </w:r>
      <w:r w:rsidR="0032036A" w:rsidRPr="006677F4">
        <w:rPr>
          <w:rFonts w:ascii="Palatino Linotype" w:hAnsi="Palatino Linotype"/>
          <w:sz w:val="22"/>
          <w:szCs w:val="22"/>
          <w:shd w:val="clear" w:color="auto" w:fill="FFFFFF"/>
        </w:rPr>
        <w:t xml:space="preserve">. </w:t>
      </w:r>
    </w:p>
    <w:p w:rsidR="006677F4" w:rsidRPr="006677F4" w:rsidRDefault="003F71F4" w:rsidP="001F078D">
      <w:pPr>
        <w:pStyle w:val="ListParagraph"/>
        <w:numPr>
          <w:ilvl w:val="0"/>
          <w:numId w:val="13"/>
        </w:numPr>
        <w:ind w:left="360"/>
        <w:jc w:val="both"/>
        <w:rPr>
          <w:rFonts w:ascii="Palatino Linotype" w:hAnsi="Palatino Linotype"/>
          <w:sz w:val="22"/>
          <w:szCs w:val="22"/>
        </w:rPr>
      </w:pPr>
      <w:r w:rsidRPr="006677F4">
        <w:rPr>
          <w:rFonts w:ascii="Palatino Linotype" w:hAnsi="Palatino Linotype"/>
          <w:sz w:val="22"/>
          <w:szCs w:val="22"/>
        </w:rPr>
        <w:t xml:space="preserve">During </w:t>
      </w:r>
      <w:r w:rsidR="009846CF">
        <w:rPr>
          <w:rFonts w:ascii="Palatino Linotype" w:hAnsi="Palatino Linotype"/>
          <w:sz w:val="22"/>
          <w:szCs w:val="22"/>
        </w:rPr>
        <w:t>September</w:t>
      </w:r>
      <w:r w:rsidRPr="006677F4">
        <w:rPr>
          <w:rFonts w:ascii="Palatino Linotype" w:hAnsi="Palatino Linotype"/>
          <w:sz w:val="22"/>
          <w:szCs w:val="22"/>
        </w:rPr>
        <w:t xml:space="preserve"> 2019, there </w:t>
      </w:r>
      <w:r w:rsidR="006677F4" w:rsidRPr="006677F4">
        <w:rPr>
          <w:rFonts w:ascii="Palatino Linotype" w:hAnsi="Palatino Linotype"/>
          <w:sz w:val="22"/>
          <w:szCs w:val="22"/>
        </w:rPr>
        <w:t>were</w:t>
      </w:r>
      <w:r w:rsidRPr="006677F4">
        <w:rPr>
          <w:rFonts w:ascii="Palatino Linotype" w:hAnsi="Palatino Linotype"/>
          <w:sz w:val="22"/>
          <w:szCs w:val="22"/>
        </w:rPr>
        <w:t xml:space="preserve"> </w:t>
      </w:r>
      <w:r w:rsidR="009846CF">
        <w:rPr>
          <w:rFonts w:ascii="Palatino Linotype" w:hAnsi="Palatino Linotype"/>
          <w:sz w:val="22"/>
          <w:szCs w:val="22"/>
        </w:rPr>
        <w:t>two</w:t>
      </w:r>
      <w:r w:rsidR="006677F4" w:rsidRPr="006677F4">
        <w:rPr>
          <w:rFonts w:ascii="Palatino Linotype" w:hAnsi="Palatino Linotype"/>
          <w:sz w:val="22"/>
          <w:szCs w:val="22"/>
        </w:rPr>
        <w:t xml:space="preserve"> issues amounting </w:t>
      </w:r>
      <w:r w:rsidR="006446D3" w:rsidRPr="006446D3">
        <w:rPr>
          <w:rFonts w:ascii="Rupee Foradian" w:hAnsi="Rupee Foradian"/>
          <w:b/>
          <w:szCs w:val="22"/>
        </w:rPr>
        <w:t>`</w:t>
      </w:r>
      <w:r w:rsidR="006677F4" w:rsidRPr="006677F4">
        <w:rPr>
          <w:rFonts w:ascii="Palatino Linotype" w:hAnsi="Palatino Linotype"/>
          <w:sz w:val="22"/>
          <w:szCs w:val="22"/>
        </w:rPr>
        <w:t xml:space="preserve"> </w:t>
      </w:r>
      <w:r w:rsidR="009846CF">
        <w:rPr>
          <w:rFonts w:ascii="Palatino Linotype" w:eastAsia="Times New Roman" w:hAnsi="Palatino Linotype"/>
          <w:color w:val="000000"/>
          <w:sz w:val="22"/>
          <w:szCs w:val="22"/>
        </w:rPr>
        <w:t>260</w:t>
      </w:r>
      <w:r w:rsidR="006677F4" w:rsidRPr="006677F4">
        <w:rPr>
          <w:rFonts w:ascii="Palatino Linotype" w:eastAsia="Times New Roman" w:hAnsi="Palatino Linotype"/>
          <w:color w:val="000000"/>
          <w:sz w:val="22"/>
          <w:szCs w:val="22"/>
        </w:rPr>
        <w:t xml:space="preserve"> crore </w:t>
      </w:r>
      <w:r w:rsidRPr="006677F4">
        <w:rPr>
          <w:rFonts w:ascii="Palatino Linotype" w:hAnsi="Palatino Linotype"/>
          <w:sz w:val="22"/>
          <w:szCs w:val="22"/>
        </w:rPr>
        <w:t xml:space="preserve">from the Public Issue </w:t>
      </w:r>
      <w:r w:rsidR="00B407F7" w:rsidRPr="006677F4">
        <w:rPr>
          <w:rFonts w:ascii="Palatino Linotype" w:hAnsi="Palatino Linotype"/>
          <w:sz w:val="22"/>
          <w:szCs w:val="22"/>
        </w:rPr>
        <w:t xml:space="preserve">of </w:t>
      </w:r>
      <w:r w:rsidRPr="006677F4">
        <w:rPr>
          <w:rFonts w:ascii="Palatino Linotype" w:hAnsi="Palatino Linotype"/>
          <w:sz w:val="22"/>
          <w:szCs w:val="22"/>
        </w:rPr>
        <w:t>Corporate Bonds</w:t>
      </w:r>
      <w:r w:rsidR="00B407F7" w:rsidRPr="006677F4">
        <w:rPr>
          <w:rFonts w:ascii="Palatino Linotype" w:hAnsi="Palatino Linotype"/>
          <w:sz w:val="22"/>
          <w:szCs w:val="22"/>
        </w:rPr>
        <w:t xml:space="preserve"> comparing with </w:t>
      </w:r>
      <w:r w:rsidR="009846CF">
        <w:rPr>
          <w:rFonts w:ascii="Palatino Linotype" w:hAnsi="Palatino Linotype"/>
          <w:sz w:val="22"/>
          <w:szCs w:val="22"/>
        </w:rPr>
        <w:t xml:space="preserve">five issues amounting </w:t>
      </w:r>
      <w:r w:rsidR="006446D3" w:rsidRPr="006446D3">
        <w:rPr>
          <w:rFonts w:ascii="Rupee Foradian" w:hAnsi="Rupee Foradian"/>
          <w:b/>
          <w:szCs w:val="22"/>
        </w:rPr>
        <w:t>`</w:t>
      </w:r>
      <w:r w:rsidR="009846CF">
        <w:rPr>
          <w:rFonts w:ascii="Palatino Linotype" w:hAnsi="Palatino Linotype"/>
          <w:sz w:val="22"/>
          <w:szCs w:val="22"/>
        </w:rPr>
        <w:t xml:space="preserve"> 3,122 crore</w:t>
      </w:r>
      <w:r w:rsidR="006677F4" w:rsidRPr="006677F4">
        <w:rPr>
          <w:rFonts w:ascii="Palatino Linotype" w:hAnsi="Palatino Linotype"/>
          <w:sz w:val="22"/>
          <w:szCs w:val="22"/>
        </w:rPr>
        <w:t xml:space="preserve"> in </w:t>
      </w:r>
      <w:r w:rsidR="009846CF">
        <w:rPr>
          <w:rFonts w:ascii="Palatino Linotype" w:hAnsi="Palatino Linotype"/>
          <w:sz w:val="22"/>
          <w:szCs w:val="22"/>
        </w:rPr>
        <w:t>August</w:t>
      </w:r>
      <w:r w:rsidR="00B407F7" w:rsidRPr="006677F4">
        <w:rPr>
          <w:rFonts w:ascii="Palatino Linotype" w:hAnsi="Palatino Linotype"/>
          <w:sz w:val="22"/>
          <w:szCs w:val="22"/>
        </w:rPr>
        <w:t xml:space="preserve"> 2019.</w:t>
      </w:r>
    </w:p>
    <w:p w:rsidR="002E7C98" w:rsidRPr="009846CF" w:rsidRDefault="002E7C98" w:rsidP="009846CF">
      <w:pPr>
        <w:pStyle w:val="ListParagraph"/>
        <w:numPr>
          <w:ilvl w:val="0"/>
          <w:numId w:val="13"/>
        </w:numPr>
        <w:ind w:left="360"/>
        <w:jc w:val="both"/>
        <w:rPr>
          <w:rFonts w:ascii="Palatino Linotype" w:hAnsi="Palatino Linotype"/>
          <w:sz w:val="22"/>
          <w:szCs w:val="22"/>
        </w:rPr>
      </w:pPr>
      <w:r w:rsidRPr="006677F4">
        <w:rPr>
          <w:rFonts w:ascii="Palatino Linotype" w:hAnsi="Palatino Linotype"/>
          <w:sz w:val="22"/>
          <w:szCs w:val="22"/>
        </w:rPr>
        <w:t xml:space="preserve">During </w:t>
      </w:r>
      <w:r w:rsidR="009846CF">
        <w:rPr>
          <w:rFonts w:ascii="Palatino Linotype" w:hAnsi="Palatino Linotype"/>
          <w:sz w:val="22"/>
          <w:szCs w:val="22"/>
        </w:rPr>
        <w:t>September</w:t>
      </w:r>
      <w:r w:rsidRPr="006677F4">
        <w:rPr>
          <w:rFonts w:ascii="Palatino Linotype" w:hAnsi="Palatino Linotype"/>
          <w:sz w:val="22"/>
          <w:szCs w:val="22"/>
        </w:rPr>
        <w:t xml:space="preserve"> 2019, Private Placement of Corporate Debt Reported to BSE and NSE </w:t>
      </w:r>
      <w:r w:rsidR="009846CF">
        <w:rPr>
          <w:rFonts w:ascii="Palatino Linotype" w:hAnsi="Palatino Linotype"/>
          <w:sz w:val="22"/>
          <w:szCs w:val="22"/>
        </w:rPr>
        <w:t>in</w:t>
      </w:r>
      <w:r w:rsidRPr="006677F4">
        <w:rPr>
          <w:rFonts w:ascii="Palatino Linotype" w:hAnsi="Palatino Linotype"/>
          <w:sz w:val="22"/>
          <w:szCs w:val="22"/>
        </w:rPr>
        <w:t xml:space="preserve">creased by </w:t>
      </w:r>
      <w:r w:rsidR="009846CF">
        <w:rPr>
          <w:rFonts w:ascii="Palatino Linotype" w:hAnsi="Palatino Linotype"/>
          <w:sz w:val="22"/>
          <w:szCs w:val="22"/>
        </w:rPr>
        <w:t>20.6</w:t>
      </w:r>
      <w:r w:rsidRPr="006677F4">
        <w:rPr>
          <w:rFonts w:ascii="Palatino Linotype" w:hAnsi="Palatino Linotype"/>
          <w:sz w:val="22"/>
          <w:szCs w:val="22"/>
        </w:rPr>
        <w:t xml:space="preserve"> per cent </w:t>
      </w:r>
      <w:r w:rsidR="00EF2ED7" w:rsidRPr="006677F4">
        <w:rPr>
          <w:rFonts w:ascii="Palatino Linotype" w:hAnsi="Palatino Linotype"/>
          <w:sz w:val="22"/>
          <w:szCs w:val="22"/>
        </w:rPr>
        <w:t xml:space="preserve">to </w:t>
      </w:r>
      <w:r w:rsidR="006446D3" w:rsidRPr="006446D3">
        <w:rPr>
          <w:rFonts w:ascii="Rupee Foradian" w:hAnsi="Rupee Foradian"/>
          <w:b/>
          <w:szCs w:val="22"/>
        </w:rPr>
        <w:t>`</w:t>
      </w:r>
      <w:r w:rsidR="006677F4" w:rsidRPr="009846CF">
        <w:rPr>
          <w:rFonts w:ascii="Palatino Linotype" w:hAnsi="Palatino Linotype"/>
          <w:sz w:val="22"/>
          <w:szCs w:val="22"/>
        </w:rPr>
        <w:t xml:space="preserve"> </w:t>
      </w:r>
      <w:r w:rsidR="009846CF" w:rsidRPr="009846CF">
        <w:rPr>
          <w:rFonts w:ascii="Palatino Linotype" w:hAnsi="Palatino Linotype"/>
          <w:sz w:val="22"/>
          <w:szCs w:val="22"/>
        </w:rPr>
        <w:t xml:space="preserve">48,629 </w:t>
      </w:r>
      <w:r w:rsidR="006677F4" w:rsidRPr="009846CF">
        <w:rPr>
          <w:rFonts w:ascii="Palatino Linotype" w:hAnsi="Palatino Linotype"/>
          <w:sz w:val="22"/>
          <w:szCs w:val="22"/>
        </w:rPr>
        <w:t xml:space="preserve"> </w:t>
      </w:r>
      <w:r w:rsidR="00EF2ED7" w:rsidRPr="009846CF">
        <w:rPr>
          <w:rFonts w:ascii="Palatino Linotype" w:hAnsi="Palatino Linotype"/>
          <w:sz w:val="22"/>
          <w:szCs w:val="22"/>
        </w:rPr>
        <w:t xml:space="preserve">crore </w:t>
      </w:r>
      <w:r w:rsidR="00B407F7" w:rsidRPr="009846CF">
        <w:rPr>
          <w:rFonts w:ascii="Palatino Linotype" w:hAnsi="Palatino Linotype"/>
          <w:sz w:val="22"/>
          <w:szCs w:val="22"/>
        </w:rPr>
        <w:t>over</w:t>
      </w:r>
      <w:r w:rsidR="00503572" w:rsidRPr="009846CF">
        <w:rPr>
          <w:rFonts w:ascii="Palatino Linotype" w:hAnsi="Palatino Linotype"/>
          <w:sz w:val="22"/>
          <w:szCs w:val="22"/>
        </w:rPr>
        <w:t xml:space="preserve"> </w:t>
      </w:r>
      <w:r w:rsidR="006446D3" w:rsidRPr="006446D3">
        <w:rPr>
          <w:rFonts w:ascii="Rupee Foradian" w:hAnsi="Rupee Foradian"/>
          <w:b/>
          <w:szCs w:val="22"/>
        </w:rPr>
        <w:t>`</w:t>
      </w:r>
      <w:r w:rsidR="00AF6BB4" w:rsidRPr="009846CF">
        <w:rPr>
          <w:rFonts w:ascii="Palatino Linotype" w:hAnsi="Palatino Linotype"/>
          <w:sz w:val="22"/>
          <w:szCs w:val="22"/>
        </w:rPr>
        <w:t xml:space="preserve"> </w:t>
      </w:r>
      <w:r w:rsidR="009846CF" w:rsidRPr="009846CF">
        <w:rPr>
          <w:rFonts w:ascii="Palatino Linotype" w:hAnsi="Palatino Linotype"/>
          <w:sz w:val="22"/>
          <w:szCs w:val="22"/>
        </w:rPr>
        <w:t xml:space="preserve">40,309 </w:t>
      </w:r>
      <w:r w:rsidR="006677F4" w:rsidRPr="009846CF">
        <w:rPr>
          <w:rFonts w:ascii="Palatino Linotype" w:hAnsi="Palatino Linotype"/>
          <w:sz w:val="22"/>
          <w:szCs w:val="22"/>
        </w:rPr>
        <w:t xml:space="preserve"> crore in </w:t>
      </w:r>
      <w:r w:rsidR="009846CF">
        <w:rPr>
          <w:rFonts w:ascii="Palatino Linotype" w:hAnsi="Palatino Linotype"/>
          <w:sz w:val="22"/>
          <w:szCs w:val="22"/>
        </w:rPr>
        <w:t>August</w:t>
      </w:r>
      <w:r w:rsidR="00AF6BB4" w:rsidRPr="009846CF">
        <w:rPr>
          <w:rFonts w:ascii="Palatino Linotype" w:hAnsi="Palatino Linotype"/>
          <w:sz w:val="22"/>
          <w:szCs w:val="22"/>
        </w:rPr>
        <w:t xml:space="preserve"> 2019.</w:t>
      </w:r>
    </w:p>
    <w:p w:rsidR="00BA2435" w:rsidRPr="009846CF" w:rsidRDefault="00BA2435" w:rsidP="009846CF">
      <w:pPr>
        <w:pStyle w:val="ListParagraph"/>
        <w:ind w:left="360"/>
        <w:jc w:val="both"/>
        <w:rPr>
          <w:rFonts w:ascii="Palatino Linotype" w:hAnsi="Palatino Linotype"/>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the Secondary Market</w:t>
      </w:r>
    </w:p>
    <w:p w:rsidR="0032036A" w:rsidRPr="009A0EB3" w:rsidRDefault="0032036A" w:rsidP="0032036A">
      <w:pPr>
        <w:widowControl w:val="0"/>
        <w:tabs>
          <w:tab w:val="left" w:pos="3915"/>
        </w:tabs>
        <w:jc w:val="both"/>
        <w:rPr>
          <w:rFonts w:ascii="Palatino Linotype" w:hAnsi="Palatino Linotype"/>
          <w:b/>
          <w:sz w:val="22"/>
          <w:szCs w:val="22"/>
        </w:rPr>
      </w:pPr>
    </w:p>
    <w:p w:rsidR="0032036A" w:rsidRPr="009A0EB3" w:rsidRDefault="0032036A" w:rsidP="0032036A">
      <w:pPr>
        <w:widowControl w:val="0"/>
        <w:contextualSpacing/>
        <w:jc w:val="both"/>
        <w:rPr>
          <w:rFonts w:ascii="Palatino Linotype" w:hAnsi="Palatino Linotype"/>
          <w:b/>
          <w:sz w:val="22"/>
          <w:szCs w:val="22"/>
        </w:rPr>
      </w:pPr>
      <w:r w:rsidRPr="009A0EB3">
        <w:rPr>
          <w:rFonts w:ascii="Palatino Linotype" w:hAnsi="Palatino Linotype"/>
          <w:b/>
          <w:sz w:val="22"/>
          <w:szCs w:val="22"/>
        </w:rPr>
        <w:t xml:space="preserve">Exhibit 2: Snapshot of Indian Capital Market </w:t>
      </w:r>
    </w:p>
    <w:tbl>
      <w:tblPr>
        <w:tblW w:w="9585" w:type="dxa"/>
        <w:tblLook w:val="04A0" w:firstRow="1" w:lastRow="0" w:firstColumn="1" w:lastColumn="0" w:noHBand="0" w:noVBand="1"/>
      </w:tblPr>
      <w:tblGrid>
        <w:gridCol w:w="3451"/>
        <w:gridCol w:w="1950"/>
        <w:gridCol w:w="1950"/>
        <w:gridCol w:w="2234"/>
      </w:tblGrid>
      <w:tr w:rsidR="002D2DC8" w:rsidRPr="002D2DC8" w:rsidTr="002D2DC8">
        <w:trPr>
          <w:trHeight w:val="662"/>
        </w:trPr>
        <w:tc>
          <w:tcPr>
            <w:tcW w:w="3451"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2D2DC8" w:rsidRPr="002D2DC8" w:rsidRDefault="002D2DC8" w:rsidP="002D2DC8">
            <w:pPr>
              <w:rPr>
                <w:rFonts w:ascii="Palatino Linotype" w:eastAsia="Times New Roman" w:hAnsi="Palatino Linotype"/>
                <w:b/>
                <w:bCs/>
                <w:color w:val="000000"/>
                <w:sz w:val="20"/>
                <w:szCs w:val="20"/>
                <w:lang w:val="en-US"/>
              </w:rPr>
            </w:pPr>
            <w:r w:rsidRPr="002D2DC8">
              <w:rPr>
                <w:rFonts w:ascii="Palatino Linotype" w:eastAsia="Times New Roman" w:hAnsi="Palatino Linotype"/>
                <w:b/>
                <w:bCs/>
                <w:color w:val="000000"/>
                <w:sz w:val="20"/>
                <w:szCs w:val="20"/>
                <w:lang w:val="en-US"/>
              </w:rPr>
              <w:t>Description</w:t>
            </w:r>
          </w:p>
        </w:tc>
        <w:tc>
          <w:tcPr>
            <w:tcW w:w="1949" w:type="dxa"/>
            <w:tcBorders>
              <w:top w:val="single" w:sz="4" w:space="0" w:color="auto"/>
              <w:left w:val="nil"/>
              <w:bottom w:val="single" w:sz="4" w:space="0" w:color="auto"/>
              <w:right w:val="single" w:sz="4" w:space="0" w:color="auto"/>
            </w:tcBorders>
            <w:shd w:val="clear" w:color="000000" w:fill="92CDDC"/>
            <w:noWrap/>
            <w:vAlign w:val="center"/>
            <w:hideMark/>
          </w:tcPr>
          <w:p w:rsidR="002D2DC8" w:rsidRPr="002D2DC8" w:rsidRDefault="002D2DC8" w:rsidP="002D2DC8">
            <w:pPr>
              <w:jc w:val="center"/>
              <w:rPr>
                <w:rFonts w:ascii="Palatino Linotype" w:eastAsia="Times New Roman" w:hAnsi="Palatino Linotype"/>
                <w:b/>
                <w:bCs/>
                <w:color w:val="000000"/>
                <w:sz w:val="20"/>
                <w:szCs w:val="20"/>
                <w:lang w:val="en-US"/>
              </w:rPr>
            </w:pPr>
            <w:r w:rsidRPr="002D2DC8">
              <w:rPr>
                <w:rFonts w:ascii="Palatino Linotype" w:eastAsia="Times New Roman" w:hAnsi="Palatino Linotype"/>
                <w:b/>
                <w:bCs/>
                <w:color w:val="000000"/>
                <w:sz w:val="20"/>
                <w:szCs w:val="20"/>
                <w:lang w:val="en-US"/>
              </w:rPr>
              <w:t>Aug-19</w:t>
            </w:r>
          </w:p>
        </w:tc>
        <w:tc>
          <w:tcPr>
            <w:tcW w:w="1949" w:type="dxa"/>
            <w:tcBorders>
              <w:top w:val="single" w:sz="4" w:space="0" w:color="auto"/>
              <w:left w:val="nil"/>
              <w:bottom w:val="single" w:sz="4" w:space="0" w:color="auto"/>
              <w:right w:val="single" w:sz="4" w:space="0" w:color="auto"/>
            </w:tcBorders>
            <w:shd w:val="clear" w:color="000000" w:fill="92CDDC"/>
            <w:noWrap/>
            <w:vAlign w:val="center"/>
            <w:hideMark/>
          </w:tcPr>
          <w:p w:rsidR="002D2DC8" w:rsidRPr="002D2DC8" w:rsidRDefault="002D2DC8" w:rsidP="002D2DC8">
            <w:pPr>
              <w:jc w:val="center"/>
              <w:rPr>
                <w:rFonts w:ascii="Palatino Linotype" w:eastAsia="Times New Roman" w:hAnsi="Palatino Linotype"/>
                <w:b/>
                <w:bCs/>
                <w:color w:val="000000"/>
                <w:sz w:val="20"/>
                <w:szCs w:val="20"/>
                <w:lang w:val="en-US"/>
              </w:rPr>
            </w:pPr>
            <w:r w:rsidRPr="002D2DC8">
              <w:rPr>
                <w:rFonts w:ascii="Palatino Linotype" w:eastAsia="Times New Roman" w:hAnsi="Palatino Linotype"/>
                <w:b/>
                <w:bCs/>
                <w:color w:val="000000"/>
                <w:sz w:val="20"/>
                <w:szCs w:val="20"/>
                <w:lang w:val="en-US"/>
              </w:rPr>
              <w:t>Sep-19</w:t>
            </w:r>
          </w:p>
        </w:tc>
        <w:tc>
          <w:tcPr>
            <w:tcW w:w="2234" w:type="dxa"/>
            <w:tcBorders>
              <w:top w:val="single" w:sz="4" w:space="0" w:color="auto"/>
              <w:left w:val="nil"/>
              <w:bottom w:val="single" w:sz="4" w:space="0" w:color="auto"/>
              <w:right w:val="single" w:sz="4" w:space="0" w:color="auto"/>
            </w:tcBorders>
            <w:shd w:val="clear" w:color="000000" w:fill="92CDDC"/>
            <w:vAlign w:val="center"/>
            <w:hideMark/>
          </w:tcPr>
          <w:p w:rsidR="002D2DC8" w:rsidRPr="002D2DC8" w:rsidRDefault="002D2DC8" w:rsidP="002D2DC8">
            <w:pPr>
              <w:jc w:val="center"/>
              <w:rPr>
                <w:rFonts w:ascii="Palatino Linotype" w:eastAsia="Times New Roman" w:hAnsi="Palatino Linotype"/>
                <w:b/>
                <w:bCs/>
                <w:color w:val="000000"/>
                <w:sz w:val="20"/>
                <w:szCs w:val="20"/>
                <w:lang w:val="en-US"/>
              </w:rPr>
            </w:pPr>
            <w:r w:rsidRPr="002D2DC8">
              <w:rPr>
                <w:rFonts w:ascii="Palatino Linotype" w:eastAsia="Times New Roman" w:hAnsi="Palatino Linotype"/>
                <w:b/>
                <w:bCs/>
                <w:color w:val="000000"/>
                <w:sz w:val="20"/>
                <w:szCs w:val="20"/>
                <w:lang w:val="en-US"/>
              </w:rPr>
              <w:t>Change during the Month</w:t>
            </w:r>
          </w:p>
        </w:tc>
      </w:tr>
      <w:tr w:rsidR="002D2DC8" w:rsidRPr="002D2DC8" w:rsidTr="002D2DC8">
        <w:trPr>
          <w:trHeight w:val="267"/>
        </w:trPr>
        <w:tc>
          <w:tcPr>
            <w:tcW w:w="3451" w:type="dxa"/>
            <w:tcBorders>
              <w:top w:val="nil"/>
              <w:left w:val="single" w:sz="4" w:space="0" w:color="auto"/>
              <w:bottom w:val="single" w:sz="4" w:space="0" w:color="auto"/>
              <w:right w:val="nil"/>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Index in Equity Market</w:t>
            </w:r>
          </w:p>
        </w:tc>
        <w:tc>
          <w:tcPr>
            <w:tcW w:w="1949" w:type="dxa"/>
            <w:tcBorders>
              <w:top w:val="nil"/>
              <w:left w:val="nil"/>
              <w:bottom w:val="single" w:sz="4" w:space="0" w:color="auto"/>
              <w:right w:val="nil"/>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 </w:t>
            </w:r>
          </w:p>
        </w:tc>
        <w:tc>
          <w:tcPr>
            <w:tcW w:w="1949" w:type="dxa"/>
            <w:tcBorders>
              <w:top w:val="nil"/>
              <w:left w:val="nil"/>
              <w:bottom w:val="single" w:sz="4" w:space="0" w:color="auto"/>
              <w:right w:val="nil"/>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 </w:t>
            </w:r>
          </w:p>
        </w:tc>
        <w:tc>
          <w:tcPr>
            <w:tcW w:w="2234" w:type="dxa"/>
            <w:tcBorders>
              <w:top w:val="nil"/>
              <w:left w:val="nil"/>
              <w:bottom w:val="single" w:sz="4" w:space="0" w:color="auto"/>
              <w:right w:val="single" w:sz="4" w:space="0" w:color="auto"/>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 </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Sensex</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A66322">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37,333 </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A66322">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38,667 </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3.6</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Nifty 50</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A66322">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11,023 </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A66322">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11,474 </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4.1</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Nifty 500</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A66322">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8,978 </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A66322">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9,341 </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4.0</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BSE 500</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A66322">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14,234 </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A66322">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14,810 </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4.0</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Nifty Bank</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A66322">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27,428 </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A66322">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29,103 </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6.1</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Nifty IT</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A66322">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16,010 </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A66322">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15,540 </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-2.9</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BSE Healthcare</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A66322">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12,875 </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A66322">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12,494 </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-3.0</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BSE FMCG</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A66322">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11,077 </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A66322">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11,767 </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6.2</w:t>
            </w:r>
          </w:p>
        </w:tc>
      </w:tr>
      <w:tr w:rsidR="002D2DC8" w:rsidRPr="002D2DC8" w:rsidTr="002D2DC8">
        <w:trPr>
          <w:trHeight w:val="267"/>
        </w:trPr>
        <w:tc>
          <w:tcPr>
            <w:tcW w:w="5401" w:type="dxa"/>
            <w:gridSpan w:val="2"/>
            <w:tcBorders>
              <w:top w:val="single" w:sz="4" w:space="0" w:color="auto"/>
              <w:left w:val="single" w:sz="4" w:space="0" w:color="auto"/>
              <w:bottom w:val="single" w:sz="4" w:space="0" w:color="auto"/>
              <w:right w:val="nil"/>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Market Capitalisation (</w:t>
            </w:r>
            <w:r w:rsidR="006446D3" w:rsidRPr="006446D3">
              <w:rPr>
                <w:rFonts w:ascii="Rupee Foradian" w:eastAsia="Times New Roman" w:hAnsi="Rupee Foradian"/>
                <w:b/>
                <w:bCs/>
                <w:color w:val="002060"/>
                <w:sz w:val="20"/>
                <w:szCs w:val="20"/>
                <w:lang w:val="en-US"/>
              </w:rPr>
              <w:t>`</w:t>
            </w:r>
            <w:r w:rsidRPr="002D2DC8">
              <w:rPr>
                <w:rFonts w:ascii="Palatino Linotype" w:eastAsia="Times New Roman" w:hAnsi="Palatino Linotype"/>
                <w:b/>
                <w:bCs/>
                <w:color w:val="002060"/>
                <w:sz w:val="20"/>
                <w:szCs w:val="20"/>
                <w:lang w:val="en-US"/>
              </w:rPr>
              <w:t xml:space="preserve"> crore)</w:t>
            </w:r>
          </w:p>
        </w:tc>
        <w:tc>
          <w:tcPr>
            <w:tcW w:w="1949" w:type="dxa"/>
            <w:tcBorders>
              <w:top w:val="nil"/>
              <w:left w:val="nil"/>
              <w:bottom w:val="single" w:sz="4" w:space="0" w:color="auto"/>
              <w:right w:val="nil"/>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 </w:t>
            </w:r>
          </w:p>
        </w:tc>
        <w:tc>
          <w:tcPr>
            <w:tcW w:w="2234" w:type="dxa"/>
            <w:tcBorders>
              <w:top w:val="nil"/>
              <w:left w:val="nil"/>
              <w:bottom w:val="single" w:sz="4" w:space="0" w:color="auto"/>
              <w:right w:val="single" w:sz="4" w:space="0" w:color="auto"/>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 </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BSE </w:t>
            </w:r>
          </w:p>
        </w:tc>
        <w:tc>
          <w:tcPr>
            <w:tcW w:w="1949"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Palatino Linotype" w:eastAsia="Times New Roman" w:hAnsi="Palatino Linotype"/>
                <w:sz w:val="20"/>
                <w:szCs w:val="20"/>
                <w:lang w:val="en-US"/>
              </w:rPr>
            </w:pPr>
            <w:r w:rsidRPr="002D2DC8">
              <w:rPr>
                <w:rFonts w:ascii="Palatino Linotype" w:eastAsia="Times New Roman" w:hAnsi="Palatino Linotype"/>
                <w:sz w:val="20"/>
                <w:szCs w:val="20"/>
                <w:lang w:val="en-US"/>
              </w:rPr>
              <w:t>1,40,98,452</w:t>
            </w:r>
          </w:p>
        </w:tc>
        <w:tc>
          <w:tcPr>
            <w:tcW w:w="1949" w:type="dxa"/>
            <w:tcBorders>
              <w:top w:val="nil"/>
              <w:left w:val="nil"/>
              <w:bottom w:val="single" w:sz="4" w:space="0" w:color="000000"/>
              <w:right w:val="single" w:sz="4" w:space="0" w:color="000000"/>
            </w:tcBorders>
            <w:shd w:val="clear" w:color="000000" w:fill="FFFFFF"/>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1,47,17,456</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4.4</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NSE</w:t>
            </w:r>
          </w:p>
        </w:tc>
        <w:tc>
          <w:tcPr>
            <w:tcW w:w="1949" w:type="dxa"/>
            <w:tcBorders>
              <w:top w:val="nil"/>
              <w:left w:val="nil"/>
              <w:bottom w:val="single" w:sz="4" w:space="0" w:color="auto"/>
              <w:right w:val="single" w:sz="4" w:space="0" w:color="auto"/>
            </w:tcBorders>
            <w:shd w:val="clear" w:color="auto" w:fill="auto"/>
            <w:noWrap/>
            <w:vAlign w:val="center"/>
            <w:hideMark/>
          </w:tcPr>
          <w:p w:rsidR="002D2DC8" w:rsidRPr="002D2DC8" w:rsidRDefault="002D2DC8" w:rsidP="002D2DC8">
            <w:pPr>
              <w:jc w:val="right"/>
              <w:rPr>
                <w:rFonts w:ascii="Palatino Linotype" w:eastAsia="Times New Roman" w:hAnsi="Palatino Linotype"/>
                <w:sz w:val="20"/>
                <w:szCs w:val="20"/>
                <w:lang w:val="en-US"/>
              </w:rPr>
            </w:pPr>
            <w:r w:rsidRPr="002D2DC8">
              <w:rPr>
                <w:rFonts w:ascii="Palatino Linotype" w:eastAsia="Times New Roman" w:hAnsi="Palatino Linotype"/>
                <w:sz w:val="20"/>
                <w:szCs w:val="20"/>
                <w:lang w:val="en-US"/>
              </w:rPr>
              <w:t>1,39,76,168</w:t>
            </w:r>
          </w:p>
        </w:tc>
        <w:tc>
          <w:tcPr>
            <w:tcW w:w="1949" w:type="dxa"/>
            <w:tcBorders>
              <w:top w:val="nil"/>
              <w:left w:val="nil"/>
              <w:bottom w:val="single" w:sz="4" w:space="0" w:color="000000"/>
              <w:right w:val="single" w:sz="4" w:space="0" w:color="000000"/>
            </w:tcBorders>
            <w:shd w:val="clear" w:color="000000" w:fill="FFFFFF"/>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1,45,73,003</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4.3</w:t>
            </w:r>
          </w:p>
        </w:tc>
      </w:tr>
      <w:tr w:rsidR="002D2DC8" w:rsidRPr="002D2DC8" w:rsidTr="002D2DC8">
        <w:trPr>
          <w:trHeight w:val="267"/>
        </w:trPr>
        <w:tc>
          <w:tcPr>
            <w:tcW w:w="3451" w:type="dxa"/>
            <w:tcBorders>
              <w:top w:val="nil"/>
              <w:left w:val="single" w:sz="4" w:space="0" w:color="auto"/>
              <w:bottom w:val="single" w:sz="4" w:space="0" w:color="auto"/>
              <w:right w:val="nil"/>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P/E Ratio</w:t>
            </w:r>
          </w:p>
        </w:tc>
        <w:tc>
          <w:tcPr>
            <w:tcW w:w="1949" w:type="dxa"/>
            <w:tcBorders>
              <w:top w:val="nil"/>
              <w:left w:val="nil"/>
              <w:bottom w:val="single" w:sz="4" w:space="0" w:color="auto"/>
              <w:right w:val="nil"/>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 </w:t>
            </w:r>
          </w:p>
        </w:tc>
        <w:tc>
          <w:tcPr>
            <w:tcW w:w="1949" w:type="dxa"/>
            <w:tcBorders>
              <w:top w:val="nil"/>
              <w:left w:val="nil"/>
              <w:bottom w:val="single" w:sz="4" w:space="0" w:color="auto"/>
              <w:right w:val="nil"/>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 </w:t>
            </w:r>
          </w:p>
        </w:tc>
        <w:tc>
          <w:tcPr>
            <w:tcW w:w="2234" w:type="dxa"/>
            <w:tcBorders>
              <w:top w:val="nil"/>
              <w:left w:val="nil"/>
              <w:bottom w:val="single" w:sz="4" w:space="0" w:color="auto"/>
              <w:right w:val="single" w:sz="4" w:space="0" w:color="auto"/>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 </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Sensex</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26.3</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26.4</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0.7</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Nifty 50</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27.3</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27.0</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-0.8</w:t>
            </w:r>
          </w:p>
        </w:tc>
      </w:tr>
      <w:tr w:rsidR="002D2DC8" w:rsidRPr="002D2DC8" w:rsidTr="002D2DC8">
        <w:trPr>
          <w:trHeight w:val="267"/>
        </w:trPr>
        <w:tc>
          <w:tcPr>
            <w:tcW w:w="3451" w:type="dxa"/>
            <w:tcBorders>
              <w:top w:val="nil"/>
              <w:left w:val="single" w:sz="4" w:space="0" w:color="auto"/>
              <w:bottom w:val="single" w:sz="4" w:space="0" w:color="auto"/>
              <w:right w:val="nil"/>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No of Listed Companies</w:t>
            </w:r>
          </w:p>
        </w:tc>
        <w:tc>
          <w:tcPr>
            <w:tcW w:w="1949" w:type="dxa"/>
            <w:tcBorders>
              <w:top w:val="nil"/>
              <w:left w:val="nil"/>
              <w:bottom w:val="single" w:sz="4" w:space="0" w:color="auto"/>
              <w:right w:val="nil"/>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 </w:t>
            </w:r>
          </w:p>
        </w:tc>
        <w:tc>
          <w:tcPr>
            <w:tcW w:w="1949" w:type="dxa"/>
            <w:tcBorders>
              <w:top w:val="nil"/>
              <w:left w:val="nil"/>
              <w:bottom w:val="single" w:sz="4" w:space="0" w:color="auto"/>
              <w:right w:val="nil"/>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 </w:t>
            </w:r>
          </w:p>
        </w:tc>
        <w:tc>
          <w:tcPr>
            <w:tcW w:w="2234" w:type="dxa"/>
            <w:tcBorders>
              <w:top w:val="nil"/>
              <w:left w:val="nil"/>
              <w:bottom w:val="single" w:sz="4" w:space="0" w:color="auto"/>
              <w:right w:val="single" w:sz="4" w:space="0" w:color="auto"/>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 </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BSE </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5317</w:t>
            </w:r>
          </w:p>
        </w:tc>
        <w:tc>
          <w:tcPr>
            <w:tcW w:w="1949" w:type="dxa"/>
            <w:tcBorders>
              <w:top w:val="nil"/>
              <w:left w:val="nil"/>
              <w:bottom w:val="single" w:sz="4" w:space="0" w:color="000000"/>
              <w:right w:val="single" w:sz="4" w:space="0" w:color="000000"/>
            </w:tcBorders>
            <w:shd w:val="clear" w:color="000000" w:fill="FFFFFF"/>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5,332</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0.3</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NSE</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1952</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1955</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0.2</w:t>
            </w:r>
          </w:p>
        </w:tc>
      </w:tr>
      <w:tr w:rsidR="002D2DC8" w:rsidRPr="002D2DC8" w:rsidTr="002D2DC8">
        <w:trPr>
          <w:trHeight w:val="267"/>
        </w:trPr>
        <w:tc>
          <w:tcPr>
            <w:tcW w:w="5401" w:type="dxa"/>
            <w:gridSpan w:val="2"/>
            <w:tcBorders>
              <w:top w:val="single" w:sz="4" w:space="0" w:color="auto"/>
              <w:left w:val="single" w:sz="4" w:space="0" w:color="auto"/>
              <w:bottom w:val="single" w:sz="4" w:space="0" w:color="auto"/>
              <w:right w:val="nil"/>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Gross Turnover in Equity Segment (</w:t>
            </w:r>
            <w:r w:rsidR="006446D3" w:rsidRPr="006446D3">
              <w:rPr>
                <w:rFonts w:ascii="Rupee Foradian" w:eastAsia="Times New Roman" w:hAnsi="Rupee Foradian"/>
                <w:b/>
                <w:bCs/>
                <w:color w:val="002060"/>
                <w:sz w:val="20"/>
                <w:szCs w:val="20"/>
                <w:lang w:val="en-US"/>
              </w:rPr>
              <w:t>`</w:t>
            </w:r>
            <w:r w:rsidRPr="002D2DC8">
              <w:rPr>
                <w:rFonts w:ascii="Palatino Linotype" w:eastAsia="Times New Roman" w:hAnsi="Palatino Linotype"/>
                <w:b/>
                <w:bCs/>
                <w:color w:val="002060"/>
                <w:sz w:val="20"/>
                <w:szCs w:val="20"/>
                <w:lang w:val="en-US"/>
              </w:rPr>
              <w:t xml:space="preserve"> crore)</w:t>
            </w:r>
          </w:p>
        </w:tc>
        <w:tc>
          <w:tcPr>
            <w:tcW w:w="1949" w:type="dxa"/>
            <w:tcBorders>
              <w:top w:val="nil"/>
              <w:left w:val="nil"/>
              <w:bottom w:val="single" w:sz="4" w:space="0" w:color="auto"/>
              <w:right w:val="nil"/>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 </w:t>
            </w:r>
          </w:p>
        </w:tc>
        <w:tc>
          <w:tcPr>
            <w:tcW w:w="2234" w:type="dxa"/>
            <w:tcBorders>
              <w:top w:val="nil"/>
              <w:left w:val="nil"/>
              <w:bottom w:val="single" w:sz="4" w:space="0" w:color="auto"/>
              <w:right w:val="single" w:sz="4" w:space="0" w:color="auto"/>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 </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BSE </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50,805 </w:t>
            </w:r>
          </w:p>
        </w:tc>
        <w:tc>
          <w:tcPr>
            <w:tcW w:w="1949" w:type="dxa"/>
            <w:tcBorders>
              <w:top w:val="nil"/>
              <w:left w:val="nil"/>
              <w:bottom w:val="single" w:sz="4" w:space="0" w:color="000000"/>
              <w:right w:val="single" w:sz="4" w:space="0" w:color="000000"/>
            </w:tcBorders>
            <w:shd w:val="clear" w:color="000000" w:fill="FFFFFF"/>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52,690</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3.7</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NSE</w:t>
            </w:r>
          </w:p>
        </w:tc>
        <w:tc>
          <w:tcPr>
            <w:tcW w:w="1949" w:type="dxa"/>
            <w:tcBorders>
              <w:top w:val="nil"/>
              <w:left w:val="nil"/>
              <w:bottom w:val="single" w:sz="4" w:space="0" w:color="auto"/>
              <w:right w:val="single" w:sz="4" w:space="0" w:color="auto"/>
            </w:tcBorders>
            <w:shd w:val="clear" w:color="000000" w:fill="FFFFFF"/>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6,73,633</w:t>
            </w:r>
          </w:p>
        </w:tc>
        <w:tc>
          <w:tcPr>
            <w:tcW w:w="1949" w:type="dxa"/>
            <w:tcBorders>
              <w:top w:val="nil"/>
              <w:left w:val="nil"/>
              <w:bottom w:val="single" w:sz="4" w:space="0" w:color="000000"/>
              <w:right w:val="single" w:sz="4" w:space="0" w:color="000000"/>
            </w:tcBorders>
            <w:shd w:val="clear" w:color="000000" w:fill="FFFFFF"/>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7,10,498</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5.5</w:t>
            </w:r>
          </w:p>
        </w:tc>
      </w:tr>
      <w:tr w:rsidR="002D2DC8" w:rsidRPr="002D2DC8" w:rsidTr="002D2DC8">
        <w:trPr>
          <w:trHeight w:val="267"/>
        </w:trPr>
        <w:tc>
          <w:tcPr>
            <w:tcW w:w="7351"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Gross Turnover in Equity Derivatives Segment (</w:t>
            </w:r>
            <w:r w:rsidR="006446D3" w:rsidRPr="006446D3">
              <w:rPr>
                <w:rFonts w:ascii="Rupee Foradian" w:eastAsia="Times New Roman" w:hAnsi="Rupee Foradian"/>
                <w:b/>
                <w:bCs/>
                <w:color w:val="002060"/>
                <w:sz w:val="20"/>
                <w:szCs w:val="20"/>
                <w:lang w:val="en-US"/>
              </w:rPr>
              <w:t>`</w:t>
            </w:r>
            <w:r w:rsidRPr="002D2DC8">
              <w:rPr>
                <w:rFonts w:ascii="Palatino Linotype" w:eastAsia="Times New Roman" w:hAnsi="Palatino Linotype"/>
                <w:b/>
                <w:bCs/>
                <w:color w:val="002060"/>
                <w:sz w:val="20"/>
                <w:szCs w:val="20"/>
                <w:lang w:val="en-US"/>
              </w:rPr>
              <w:t xml:space="preserve"> crore)</w:t>
            </w:r>
          </w:p>
        </w:tc>
        <w:tc>
          <w:tcPr>
            <w:tcW w:w="2234" w:type="dxa"/>
            <w:tcBorders>
              <w:top w:val="nil"/>
              <w:left w:val="nil"/>
              <w:bottom w:val="single" w:sz="4" w:space="0" w:color="auto"/>
              <w:right w:val="single" w:sz="4" w:space="0" w:color="auto"/>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 </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BSE </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20</w:t>
            </w:r>
          </w:p>
        </w:tc>
        <w:tc>
          <w:tcPr>
            <w:tcW w:w="1949" w:type="dxa"/>
            <w:tcBorders>
              <w:top w:val="nil"/>
              <w:left w:val="nil"/>
              <w:bottom w:val="single" w:sz="4" w:space="0" w:color="000000"/>
              <w:right w:val="single" w:sz="4" w:space="0" w:color="000000"/>
            </w:tcBorders>
            <w:shd w:val="clear" w:color="000000" w:fill="FFFFFF"/>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350</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1679.9</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NSE</w:t>
            </w:r>
          </w:p>
        </w:tc>
        <w:tc>
          <w:tcPr>
            <w:tcW w:w="1949" w:type="dxa"/>
            <w:tcBorders>
              <w:top w:val="nil"/>
              <w:left w:val="nil"/>
              <w:bottom w:val="single" w:sz="4" w:space="0" w:color="000000"/>
              <w:right w:val="single" w:sz="4" w:space="0" w:color="000000"/>
            </w:tcBorders>
            <w:shd w:val="clear" w:color="000000" w:fill="FFFFFF"/>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3,04,77,779</w:t>
            </w:r>
          </w:p>
        </w:tc>
        <w:tc>
          <w:tcPr>
            <w:tcW w:w="1949" w:type="dxa"/>
            <w:tcBorders>
              <w:top w:val="nil"/>
              <w:left w:val="nil"/>
              <w:bottom w:val="single" w:sz="4" w:space="0" w:color="000000"/>
              <w:right w:val="single" w:sz="4" w:space="0" w:color="000000"/>
            </w:tcBorders>
            <w:shd w:val="clear" w:color="000000" w:fill="FFFFFF"/>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2,89,19,316</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-5.1</w:t>
            </w:r>
          </w:p>
        </w:tc>
      </w:tr>
      <w:tr w:rsidR="002D2DC8" w:rsidRPr="002D2DC8" w:rsidTr="002D2DC8">
        <w:trPr>
          <w:trHeight w:val="267"/>
        </w:trPr>
        <w:tc>
          <w:tcPr>
            <w:tcW w:w="7351"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Gross Turnover in Currency Derivatives Segment (</w:t>
            </w:r>
            <w:r w:rsidR="006446D3" w:rsidRPr="006446D3">
              <w:rPr>
                <w:rFonts w:ascii="Rupee Foradian" w:eastAsia="Times New Roman" w:hAnsi="Rupee Foradian"/>
                <w:b/>
                <w:bCs/>
                <w:color w:val="002060"/>
                <w:sz w:val="20"/>
                <w:szCs w:val="20"/>
                <w:lang w:val="en-US"/>
              </w:rPr>
              <w:t>`</w:t>
            </w:r>
            <w:r w:rsidRPr="002D2DC8">
              <w:rPr>
                <w:rFonts w:ascii="Palatino Linotype" w:eastAsia="Times New Roman" w:hAnsi="Palatino Linotype"/>
                <w:b/>
                <w:bCs/>
                <w:color w:val="002060"/>
                <w:sz w:val="20"/>
                <w:szCs w:val="20"/>
                <w:lang w:val="en-US"/>
              </w:rPr>
              <w:t xml:space="preserve"> crore)</w:t>
            </w:r>
          </w:p>
        </w:tc>
        <w:tc>
          <w:tcPr>
            <w:tcW w:w="2234" w:type="dxa"/>
            <w:tcBorders>
              <w:top w:val="nil"/>
              <w:left w:val="nil"/>
              <w:bottom w:val="single" w:sz="4" w:space="0" w:color="auto"/>
              <w:right w:val="single" w:sz="4" w:space="0" w:color="auto"/>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 </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BSE </w:t>
            </w:r>
          </w:p>
        </w:tc>
        <w:tc>
          <w:tcPr>
            <w:tcW w:w="1949" w:type="dxa"/>
            <w:tcBorders>
              <w:top w:val="nil"/>
              <w:left w:val="nil"/>
              <w:bottom w:val="single" w:sz="4" w:space="0" w:color="auto"/>
              <w:right w:val="single" w:sz="4" w:space="0" w:color="auto"/>
            </w:tcBorders>
            <w:shd w:val="clear" w:color="000000" w:fill="FFFFFF"/>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6,24,311</w:t>
            </w:r>
          </w:p>
        </w:tc>
        <w:tc>
          <w:tcPr>
            <w:tcW w:w="1949" w:type="dxa"/>
            <w:tcBorders>
              <w:top w:val="nil"/>
              <w:left w:val="nil"/>
              <w:bottom w:val="single" w:sz="4" w:space="0" w:color="000000"/>
              <w:right w:val="single" w:sz="4" w:space="0" w:color="000000"/>
            </w:tcBorders>
            <w:shd w:val="clear" w:color="000000" w:fill="FFFFFF"/>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5,84,638</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-6.4</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NSE</w:t>
            </w:r>
          </w:p>
        </w:tc>
        <w:tc>
          <w:tcPr>
            <w:tcW w:w="1949" w:type="dxa"/>
            <w:tcBorders>
              <w:top w:val="nil"/>
              <w:left w:val="nil"/>
              <w:bottom w:val="single" w:sz="4" w:space="0" w:color="auto"/>
              <w:right w:val="single" w:sz="4" w:space="0" w:color="auto"/>
            </w:tcBorders>
            <w:shd w:val="clear" w:color="000000" w:fill="FFFFFF"/>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10,27,025</w:t>
            </w:r>
          </w:p>
        </w:tc>
        <w:tc>
          <w:tcPr>
            <w:tcW w:w="1949" w:type="dxa"/>
            <w:tcBorders>
              <w:top w:val="nil"/>
              <w:left w:val="nil"/>
              <w:bottom w:val="single" w:sz="4" w:space="0" w:color="000000"/>
              <w:right w:val="single" w:sz="4" w:space="0" w:color="000000"/>
            </w:tcBorders>
            <w:shd w:val="clear" w:color="000000" w:fill="FFFFFF"/>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8,79,828</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-14.3</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MSEI</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2,369 </w:t>
            </w:r>
          </w:p>
        </w:tc>
        <w:tc>
          <w:tcPr>
            <w:tcW w:w="1949" w:type="dxa"/>
            <w:tcBorders>
              <w:top w:val="nil"/>
              <w:left w:val="nil"/>
              <w:bottom w:val="single" w:sz="4" w:space="0" w:color="000000"/>
              <w:right w:val="single" w:sz="4" w:space="0" w:color="000000"/>
            </w:tcBorders>
            <w:shd w:val="clear" w:color="000000" w:fill="FFFFFF"/>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3,329</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40.5</w:t>
            </w:r>
          </w:p>
        </w:tc>
      </w:tr>
      <w:tr w:rsidR="002D2DC8" w:rsidRPr="002D2DC8" w:rsidTr="002D2DC8">
        <w:trPr>
          <w:trHeight w:val="267"/>
        </w:trPr>
        <w:tc>
          <w:tcPr>
            <w:tcW w:w="7351"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Gross Turnover in Interest Rate Derivatives Segment (</w:t>
            </w:r>
            <w:r w:rsidR="006446D3" w:rsidRPr="006446D3">
              <w:rPr>
                <w:rFonts w:ascii="Rupee Foradian" w:eastAsia="Times New Roman" w:hAnsi="Rupee Foradian"/>
                <w:b/>
                <w:bCs/>
                <w:color w:val="002060"/>
                <w:sz w:val="20"/>
                <w:szCs w:val="20"/>
                <w:lang w:val="en-US"/>
              </w:rPr>
              <w:t>`</w:t>
            </w:r>
            <w:r w:rsidRPr="002D2DC8">
              <w:rPr>
                <w:rFonts w:ascii="Palatino Linotype" w:eastAsia="Times New Roman" w:hAnsi="Palatino Linotype"/>
                <w:b/>
                <w:bCs/>
                <w:color w:val="002060"/>
                <w:sz w:val="20"/>
                <w:szCs w:val="20"/>
                <w:lang w:val="en-US"/>
              </w:rPr>
              <w:t xml:space="preserve"> crore)</w:t>
            </w:r>
          </w:p>
        </w:tc>
        <w:tc>
          <w:tcPr>
            <w:tcW w:w="2234" w:type="dxa"/>
            <w:tcBorders>
              <w:top w:val="nil"/>
              <w:left w:val="nil"/>
              <w:bottom w:val="single" w:sz="4" w:space="0" w:color="auto"/>
              <w:right w:val="single" w:sz="4" w:space="0" w:color="auto"/>
            </w:tcBorders>
            <w:shd w:val="clear" w:color="000000" w:fill="C6E0B4"/>
            <w:noWrap/>
            <w:vAlign w:val="center"/>
            <w:hideMark/>
          </w:tcPr>
          <w:p w:rsidR="002D2DC8" w:rsidRPr="002D2DC8" w:rsidRDefault="002D2DC8" w:rsidP="002D2DC8">
            <w:pPr>
              <w:rPr>
                <w:rFonts w:ascii="Palatino Linotype" w:eastAsia="Times New Roman" w:hAnsi="Palatino Linotype"/>
                <w:b/>
                <w:bCs/>
                <w:color w:val="002060"/>
                <w:sz w:val="20"/>
                <w:szCs w:val="20"/>
                <w:lang w:val="en-US"/>
              </w:rPr>
            </w:pPr>
            <w:r w:rsidRPr="002D2DC8">
              <w:rPr>
                <w:rFonts w:ascii="Palatino Linotype" w:eastAsia="Times New Roman" w:hAnsi="Palatino Linotype"/>
                <w:b/>
                <w:bCs/>
                <w:color w:val="002060"/>
                <w:sz w:val="20"/>
                <w:szCs w:val="20"/>
                <w:lang w:val="en-US"/>
              </w:rPr>
              <w:t> </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BSE </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11,924 </w:t>
            </w:r>
          </w:p>
        </w:tc>
        <w:tc>
          <w:tcPr>
            <w:tcW w:w="1949" w:type="dxa"/>
            <w:tcBorders>
              <w:top w:val="nil"/>
              <w:left w:val="nil"/>
              <w:bottom w:val="single" w:sz="4" w:space="0" w:color="000000"/>
              <w:right w:val="single" w:sz="4" w:space="0" w:color="000000"/>
            </w:tcBorders>
            <w:shd w:val="clear" w:color="000000" w:fill="FFFFFF"/>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11,213</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-6.0</w:t>
            </w:r>
          </w:p>
        </w:tc>
      </w:tr>
      <w:tr w:rsidR="002D2DC8" w:rsidRPr="002D2DC8" w:rsidTr="002D2DC8">
        <w:trPr>
          <w:trHeight w:val="267"/>
        </w:trPr>
        <w:tc>
          <w:tcPr>
            <w:tcW w:w="3451" w:type="dxa"/>
            <w:tcBorders>
              <w:top w:val="nil"/>
              <w:left w:val="single" w:sz="4" w:space="0" w:color="auto"/>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NSE</w:t>
            </w:r>
          </w:p>
        </w:tc>
        <w:tc>
          <w:tcPr>
            <w:tcW w:w="1949"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 xml:space="preserve">                 32,496 </w:t>
            </w:r>
          </w:p>
        </w:tc>
        <w:tc>
          <w:tcPr>
            <w:tcW w:w="1949" w:type="dxa"/>
            <w:tcBorders>
              <w:top w:val="nil"/>
              <w:left w:val="nil"/>
              <w:bottom w:val="single" w:sz="4" w:space="0" w:color="000000"/>
              <w:right w:val="single" w:sz="4" w:space="0" w:color="000000"/>
            </w:tcBorders>
            <w:shd w:val="clear" w:color="000000" w:fill="FFFFFF"/>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28,898</w:t>
            </w:r>
          </w:p>
        </w:tc>
        <w:tc>
          <w:tcPr>
            <w:tcW w:w="2234" w:type="dxa"/>
            <w:tcBorders>
              <w:top w:val="nil"/>
              <w:left w:val="nil"/>
              <w:bottom w:val="single" w:sz="4" w:space="0" w:color="auto"/>
              <w:right w:val="single" w:sz="4" w:space="0" w:color="auto"/>
            </w:tcBorders>
            <w:shd w:val="clear" w:color="auto" w:fill="auto"/>
            <w:noWrap/>
            <w:vAlign w:val="bottom"/>
            <w:hideMark/>
          </w:tcPr>
          <w:p w:rsidR="002D2DC8" w:rsidRPr="002D2DC8" w:rsidRDefault="002D2DC8" w:rsidP="002D2DC8">
            <w:pPr>
              <w:jc w:val="right"/>
              <w:rPr>
                <w:rFonts w:ascii="Palatino Linotype" w:eastAsia="Times New Roman" w:hAnsi="Palatino Linotype"/>
                <w:color w:val="000000"/>
                <w:sz w:val="20"/>
                <w:szCs w:val="20"/>
                <w:lang w:val="en-US"/>
              </w:rPr>
            </w:pPr>
            <w:r w:rsidRPr="002D2DC8">
              <w:rPr>
                <w:rFonts w:ascii="Palatino Linotype" w:eastAsia="Times New Roman" w:hAnsi="Palatino Linotype"/>
                <w:color w:val="000000"/>
                <w:sz w:val="20"/>
                <w:szCs w:val="20"/>
                <w:lang w:val="en-US"/>
              </w:rPr>
              <w:t>-11.1</w:t>
            </w:r>
          </w:p>
        </w:tc>
      </w:tr>
    </w:tbl>
    <w:p w:rsidR="0032036A" w:rsidRPr="009A0EB3" w:rsidRDefault="0032036A" w:rsidP="0032036A">
      <w:pPr>
        <w:jc w:val="both"/>
        <w:rPr>
          <w:rFonts w:ascii="Palatino Linotype" w:eastAsia="Times New Roman" w:hAnsi="Palatino Linotype"/>
          <w:b/>
          <w:sz w:val="18"/>
          <w:szCs w:val="18"/>
        </w:rPr>
      </w:pPr>
      <w:r w:rsidRPr="009A0EB3">
        <w:rPr>
          <w:rFonts w:ascii="Palatino Linotype" w:eastAsia="Times New Roman" w:hAnsi="Palatino Linotype"/>
          <w:b/>
          <w:sz w:val="18"/>
          <w:szCs w:val="18"/>
        </w:rPr>
        <w:t xml:space="preserve"> Source: NSE, BSE and MSEI</w:t>
      </w:r>
    </w:p>
    <w:p w:rsidR="0032036A" w:rsidRPr="009A0EB3" w:rsidRDefault="0032036A" w:rsidP="0032036A">
      <w:pPr>
        <w:jc w:val="both"/>
        <w:rPr>
          <w:rFonts w:ascii="Palatino Linotype" w:eastAsia="Times New Roman" w:hAnsi="Palatino Linotype"/>
          <w:b/>
          <w:sz w:val="22"/>
          <w:szCs w:val="22"/>
          <w:highlight w:val="yellow"/>
        </w:rPr>
      </w:pPr>
      <w:r w:rsidRPr="009A0EB3">
        <w:rPr>
          <w:rFonts w:ascii="Palatino Linotype" w:eastAsia="Times New Roman" w:hAnsi="Palatino Linotype"/>
          <w:b/>
          <w:sz w:val="22"/>
          <w:szCs w:val="22"/>
          <w:highlight w:val="yellow"/>
        </w:rPr>
        <w:t xml:space="preserve"> </w:t>
      </w:r>
    </w:p>
    <w:p w:rsidR="00326A7E" w:rsidRDefault="00326A7E" w:rsidP="00326A7E">
      <w:pPr>
        <w:pStyle w:val="ListParagraph"/>
        <w:numPr>
          <w:ilvl w:val="0"/>
          <w:numId w:val="4"/>
        </w:numPr>
        <w:jc w:val="both"/>
        <w:rPr>
          <w:rFonts w:ascii="Palatino Linotype" w:eastAsia="Times New Roman" w:hAnsi="Palatino Linotype"/>
          <w:sz w:val="22"/>
          <w:szCs w:val="22"/>
        </w:rPr>
      </w:pPr>
      <w:r>
        <w:rPr>
          <w:rFonts w:ascii="Palatino Linotype" w:eastAsia="Times New Roman" w:hAnsi="Palatino Linotype"/>
          <w:sz w:val="22"/>
          <w:szCs w:val="22"/>
        </w:rPr>
        <w:t xml:space="preserve">Indian benchmark indices Sensex and Nifty50 </w:t>
      </w:r>
      <w:r w:rsidRPr="00326A7E">
        <w:rPr>
          <w:rFonts w:ascii="Palatino Linotype" w:eastAsia="Times New Roman" w:hAnsi="Palatino Linotype"/>
          <w:sz w:val="22"/>
          <w:szCs w:val="22"/>
        </w:rPr>
        <w:t>registered a biggest single session gain in the last 10 years after Finance minister slashed corporate tax rate to 25</w:t>
      </w:r>
      <w:r>
        <w:rPr>
          <w:rFonts w:ascii="Palatino Linotype" w:eastAsia="Times New Roman" w:hAnsi="Palatino Linotype"/>
          <w:sz w:val="22"/>
          <w:szCs w:val="22"/>
        </w:rPr>
        <w:t>.2</w:t>
      </w:r>
      <w:r w:rsidRPr="00326A7E">
        <w:rPr>
          <w:rFonts w:ascii="Palatino Linotype" w:eastAsia="Times New Roman" w:hAnsi="Palatino Linotype"/>
          <w:sz w:val="22"/>
          <w:szCs w:val="22"/>
        </w:rPr>
        <w:t xml:space="preserve"> per</w:t>
      </w:r>
      <w:r>
        <w:rPr>
          <w:rFonts w:ascii="Palatino Linotype" w:eastAsia="Times New Roman" w:hAnsi="Palatino Linotype"/>
          <w:sz w:val="22"/>
          <w:szCs w:val="22"/>
        </w:rPr>
        <w:t xml:space="preserve"> </w:t>
      </w:r>
      <w:r w:rsidRPr="00326A7E">
        <w:rPr>
          <w:rFonts w:ascii="Palatino Linotype" w:eastAsia="Times New Roman" w:hAnsi="Palatino Linotype"/>
          <w:sz w:val="22"/>
          <w:szCs w:val="22"/>
        </w:rPr>
        <w:t xml:space="preserve">cent from </w:t>
      </w:r>
      <w:r>
        <w:rPr>
          <w:rFonts w:ascii="Palatino Linotype" w:eastAsia="Times New Roman" w:hAnsi="Palatino Linotype"/>
          <w:sz w:val="22"/>
          <w:szCs w:val="22"/>
        </w:rPr>
        <w:t>34.9</w:t>
      </w:r>
      <w:r w:rsidRPr="00326A7E">
        <w:rPr>
          <w:rFonts w:ascii="Palatino Linotype" w:eastAsia="Times New Roman" w:hAnsi="Palatino Linotype"/>
          <w:sz w:val="22"/>
          <w:szCs w:val="22"/>
        </w:rPr>
        <w:t xml:space="preserve"> per</w:t>
      </w:r>
      <w:r>
        <w:rPr>
          <w:rFonts w:ascii="Palatino Linotype" w:eastAsia="Times New Roman" w:hAnsi="Palatino Linotype"/>
          <w:sz w:val="22"/>
          <w:szCs w:val="22"/>
        </w:rPr>
        <w:t xml:space="preserve"> </w:t>
      </w:r>
      <w:r w:rsidRPr="00326A7E">
        <w:rPr>
          <w:rFonts w:ascii="Palatino Linotype" w:eastAsia="Times New Roman" w:hAnsi="Palatino Linotype"/>
          <w:sz w:val="22"/>
          <w:szCs w:val="22"/>
        </w:rPr>
        <w:t>cent</w:t>
      </w:r>
      <w:r>
        <w:rPr>
          <w:rFonts w:ascii="Palatino Linotype" w:eastAsia="Times New Roman" w:hAnsi="Palatino Linotype"/>
          <w:sz w:val="22"/>
          <w:szCs w:val="22"/>
        </w:rPr>
        <w:t>. On September 20, 2019,</w:t>
      </w:r>
      <w:r w:rsidRPr="00326A7E">
        <w:t xml:space="preserve"> </w:t>
      </w:r>
      <w:r w:rsidRPr="00326A7E">
        <w:rPr>
          <w:rFonts w:ascii="Palatino Linotype" w:eastAsia="Times New Roman" w:hAnsi="Palatino Linotype"/>
          <w:sz w:val="22"/>
          <w:szCs w:val="22"/>
        </w:rPr>
        <w:t xml:space="preserve">the Sensex </w:t>
      </w:r>
      <w:r>
        <w:rPr>
          <w:rFonts w:ascii="Palatino Linotype" w:eastAsia="Times New Roman" w:hAnsi="Palatino Linotype"/>
          <w:sz w:val="22"/>
          <w:szCs w:val="22"/>
        </w:rPr>
        <w:t>closed at 38</w:t>
      </w:r>
      <w:r w:rsidR="002E627C">
        <w:rPr>
          <w:rFonts w:ascii="Palatino Linotype" w:eastAsia="Times New Roman" w:hAnsi="Palatino Linotype"/>
          <w:sz w:val="22"/>
          <w:szCs w:val="22"/>
        </w:rPr>
        <w:t>,</w:t>
      </w:r>
      <w:r>
        <w:rPr>
          <w:rFonts w:ascii="Palatino Linotype" w:eastAsia="Times New Roman" w:hAnsi="Palatino Linotype"/>
          <w:sz w:val="22"/>
          <w:szCs w:val="22"/>
        </w:rPr>
        <w:t>014</w:t>
      </w:r>
      <w:r w:rsidRPr="00326A7E">
        <w:rPr>
          <w:rFonts w:ascii="Palatino Linotype" w:eastAsia="Times New Roman" w:hAnsi="Palatino Linotype"/>
          <w:sz w:val="22"/>
          <w:szCs w:val="22"/>
        </w:rPr>
        <w:t xml:space="preserve"> up </w:t>
      </w:r>
      <w:r>
        <w:rPr>
          <w:rFonts w:ascii="Palatino Linotype" w:eastAsia="Times New Roman" w:hAnsi="Palatino Linotype"/>
          <w:sz w:val="22"/>
          <w:szCs w:val="22"/>
        </w:rPr>
        <w:t>by 1,921.2 points (</w:t>
      </w:r>
      <w:r w:rsidRPr="00326A7E">
        <w:rPr>
          <w:rFonts w:ascii="Palatino Linotype" w:eastAsia="Times New Roman" w:hAnsi="Palatino Linotype"/>
          <w:sz w:val="22"/>
          <w:szCs w:val="22"/>
        </w:rPr>
        <w:t>5.3</w:t>
      </w:r>
      <w:r>
        <w:rPr>
          <w:rFonts w:ascii="Palatino Linotype" w:eastAsia="Times New Roman" w:hAnsi="Palatino Linotype"/>
          <w:sz w:val="22"/>
          <w:szCs w:val="22"/>
        </w:rPr>
        <w:t xml:space="preserve"> per cent),</w:t>
      </w:r>
      <w:r w:rsidRPr="00326A7E">
        <w:rPr>
          <w:rFonts w:ascii="Palatino Linotype" w:eastAsia="Times New Roman" w:hAnsi="Palatino Linotype"/>
          <w:sz w:val="22"/>
          <w:szCs w:val="22"/>
        </w:rPr>
        <w:t xml:space="preserve"> while Nifty was up</w:t>
      </w:r>
      <w:r>
        <w:rPr>
          <w:rFonts w:ascii="Palatino Linotype" w:eastAsia="Times New Roman" w:hAnsi="Palatino Linotype"/>
          <w:sz w:val="22"/>
          <w:szCs w:val="22"/>
        </w:rPr>
        <w:t xml:space="preserve"> by</w:t>
      </w:r>
      <w:r w:rsidRPr="00326A7E">
        <w:rPr>
          <w:rFonts w:ascii="Palatino Linotype" w:eastAsia="Times New Roman" w:hAnsi="Palatino Linotype"/>
          <w:sz w:val="22"/>
          <w:szCs w:val="22"/>
        </w:rPr>
        <w:t xml:space="preserve"> 569.4 points</w:t>
      </w:r>
      <w:r>
        <w:rPr>
          <w:rFonts w:ascii="Palatino Linotype" w:eastAsia="Times New Roman" w:hAnsi="Palatino Linotype"/>
          <w:sz w:val="22"/>
          <w:szCs w:val="22"/>
        </w:rPr>
        <w:t xml:space="preserve"> (</w:t>
      </w:r>
      <w:r w:rsidRPr="00326A7E">
        <w:rPr>
          <w:rFonts w:ascii="Palatino Linotype" w:eastAsia="Times New Roman" w:hAnsi="Palatino Linotype"/>
          <w:sz w:val="22"/>
          <w:szCs w:val="22"/>
        </w:rPr>
        <w:t>5.3</w:t>
      </w:r>
      <w:r>
        <w:rPr>
          <w:rFonts w:ascii="Palatino Linotype" w:eastAsia="Times New Roman" w:hAnsi="Palatino Linotype"/>
          <w:sz w:val="22"/>
          <w:szCs w:val="22"/>
        </w:rPr>
        <w:t xml:space="preserve"> per cent) closed at 11274</w:t>
      </w:r>
      <w:r w:rsidRPr="00326A7E">
        <w:rPr>
          <w:rFonts w:ascii="Palatino Linotype" w:eastAsia="Times New Roman" w:hAnsi="Palatino Linotype"/>
          <w:sz w:val="22"/>
          <w:szCs w:val="22"/>
        </w:rPr>
        <w:t>.</w:t>
      </w:r>
      <w:r>
        <w:rPr>
          <w:rFonts w:ascii="Palatino Linotype" w:eastAsia="Times New Roman" w:hAnsi="Palatino Linotype"/>
          <w:sz w:val="22"/>
          <w:szCs w:val="22"/>
        </w:rPr>
        <w:t xml:space="preserve"> </w:t>
      </w:r>
    </w:p>
    <w:p w:rsidR="006677F4" w:rsidRDefault="00326A7E" w:rsidP="00326A7E">
      <w:pPr>
        <w:pStyle w:val="ListParagraph"/>
        <w:numPr>
          <w:ilvl w:val="0"/>
          <w:numId w:val="4"/>
        </w:numPr>
        <w:jc w:val="both"/>
        <w:rPr>
          <w:rFonts w:ascii="Palatino Linotype" w:eastAsia="Times New Roman" w:hAnsi="Palatino Linotype"/>
          <w:sz w:val="22"/>
          <w:szCs w:val="22"/>
        </w:rPr>
      </w:pPr>
      <w:r>
        <w:rPr>
          <w:rFonts w:ascii="Palatino Linotype" w:eastAsia="Times New Roman" w:hAnsi="Palatino Linotype"/>
          <w:sz w:val="22"/>
          <w:szCs w:val="22"/>
        </w:rPr>
        <w:t>At the end of September 2019,</w:t>
      </w:r>
      <w:r w:rsidR="006677F4">
        <w:rPr>
          <w:rFonts w:ascii="Palatino Linotype" w:eastAsia="Times New Roman" w:hAnsi="Palatino Linotype"/>
          <w:sz w:val="22"/>
          <w:szCs w:val="22"/>
        </w:rPr>
        <w:t xml:space="preserve"> </w:t>
      </w:r>
      <w:r w:rsidR="006A5E7D" w:rsidRPr="00DF7E39">
        <w:rPr>
          <w:rFonts w:ascii="Palatino Linotype" w:eastAsia="Times New Roman" w:hAnsi="Palatino Linotype"/>
          <w:sz w:val="22"/>
          <w:szCs w:val="22"/>
        </w:rPr>
        <w:t>Nifty</w:t>
      </w:r>
      <w:r w:rsidR="00A47F97" w:rsidRPr="00DF7E39">
        <w:rPr>
          <w:rFonts w:ascii="Palatino Linotype" w:eastAsia="Times New Roman" w:hAnsi="Palatino Linotype"/>
          <w:sz w:val="22"/>
          <w:szCs w:val="22"/>
        </w:rPr>
        <w:t xml:space="preserve"> </w:t>
      </w:r>
      <w:r w:rsidR="006A5E7D" w:rsidRPr="00DF7E39">
        <w:rPr>
          <w:rFonts w:ascii="Palatino Linotype" w:eastAsia="Times New Roman" w:hAnsi="Palatino Linotype"/>
          <w:sz w:val="22"/>
          <w:szCs w:val="22"/>
        </w:rPr>
        <w:t xml:space="preserve">50 </w:t>
      </w:r>
      <w:r w:rsidR="006677F4">
        <w:rPr>
          <w:rFonts w:ascii="Palatino Linotype" w:eastAsia="Times New Roman" w:hAnsi="Palatino Linotype"/>
          <w:sz w:val="22"/>
          <w:szCs w:val="22"/>
        </w:rPr>
        <w:t xml:space="preserve">closed at </w:t>
      </w:r>
      <w:r w:rsidRPr="00326A7E">
        <w:rPr>
          <w:rFonts w:ascii="Palatino Linotype" w:eastAsia="Times New Roman" w:hAnsi="Palatino Linotype"/>
          <w:sz w:val="22"/>
          <w:szCs w:val="22"/>
        </w:rPr>
        <w:t>11,474</w:t>
      </w:r>
      <w:r w:rsidR="006677F4">
        <w:rPr>
          <w:rFonts w:ascii="Palatino Linotype" w:eastAsia="Times New Roman" w:hAnsi="Palatino Linotype"/>
          <w:sz w:val="22"/>
          <w:szCs w:val="22"/>
        </w:rPr>
        <w:t xml:space="preserve">, </w:t>
      </w:r>
      <w:r>
        <w:rPr>
          <w:rFonts w:ascii="Palatino Linotype" w:eastAsia="Times New Roman" w:hAnsi="Palatino Linotype"/>
          <w:sz w:val="22"/>
          <w:szCs w:val="22"/>
        </w:rPr>
        <w:t>increased</w:t>
      </w:r>
      <w:r w:rsidR="006677F4">
        <w:rPr>
          <w:rFonts w:ascii="Palatino Linotype" w:eastAsia="Times New Roman" w:hAnsi="Palatino Linotype"/>
          <w:sz w:val="22"/>
          <w:szCs w:val="22"/>
        </w:rPr>
        <w:t xml:space="preserve"> </w:t>
      </w:r>
      <w:r w:rsidR="00596E5C">
        <w:rPr>
          <w:rFonts w:ascii="Palatino Linotype" w:eastAsia="Times New Roman" w:hAnsi="Palatino Linotype"/>
          <w:sz w:val="22"/>
          <w:szCs w:val="22"/>
        </w:rPr>
        <w:t xml:space="preserve">by </w:t>
      </w:r>
      <w:r>
        <w:rPr>
          <w:rFonts w:ascii="Palatino Linotype" w:eastAsia="Times New Roman" w:hAnsi="Palatino Linotype"/>
          <w:sz w:val="22"/>
          <w:szCs w:val="22"/>
        </w:rPr>
        <w:t>451</w:t>
      </w:r>
      <w:r w:rsidR="006A5E7D" w:rsidRPr="00DF7E39">
        <w:rPr>
          <w:rFonts w:ascii="Palatino Linotype" w:eastAsia="Times New Roman" w:hAnsi="Palatino Linotype"/>
          <w:sz w:val="22"/>
          <w:szCs w:val="22"/>
        </w:rPr>
        <w:t xml:space="preserve"> points (</w:t>
      </w:r>
      <w:r>
        <w:rPr>
          <w:rFonts w:ascii="Palatino Linotype" w:eastAsia="Times New Roman" w:hAnsi="Palatino Linotype"/>
          <w:sz w:val="22"/>
          <w:szCs w:val="22"/>
        </w:rPr>
        <w:t>4.1</w:t>
      </w:r>
      <w:r w:rsidR="006A5E7D" w:rsidRPr="00DF7E39">
        <w:rPr>
          <w:rFonts w:ascii="Palatino Linotype" w:eastAsia="Times New Roman" w:hAnsi="Palatino Linotype"/>
          <w:sz w:val="22"/>
          <w:szCs w:val="22"/>
        </w:rPr>
        <w:t xml:space="preserve"> </w:t>
      </w:r>
      <w:r w:rsidR="00B6405A">
        <w:rPr>
          <w:rFonts w:ascii="Palatino Linotype" w:eastAsia="Times New Roman" w:hAnsi="Palatino Linotype"/>
          <w:sz w:val="22"/>
          <w:szCs w:val="22"/>
        </w:rPr>
        <w:t>per cent</w:t>
      </w:r>
      <w:r w:rsidR="006A5E7D" w:rsidRPr="00DF7E39">
        <w:rPr>
          <w:rFonts w:ascii="Palatino Linotype" w:eastAsia="Times New Roman" w:hAnsi="Palatino Linotype"/>
          <w:sz w:val="22"/>
          <w:szCs w:val="22"/>
        </w:rPr>
        <w:t>)</w:t>
      </w:r>
      <w:r w:rsidR="00596E5C">
        <w:rPr>
          <w:rFonts w:ascii="Palatino Linotype" w:eastAsia="Times New Roman" w:hAnsi="Palatino Linotype"/>
          <w:sz w:val="22"/>
          <w:szCs w:val="22"/>
        </w:rPr>
        <w:t xml:space="preserve"> </w:t>
      </w:r>
      <w:r w:rsidR="006677F4">
        <w:rPr>
          <w:rFonts w:ascii="Palatino Linotype" w:eastAsia="Times New Roman" w:hAnsi="Palatino Linotype"/>
          <w:sz w:val="22"/>
          <w:szCs w:val="22"/>
        </w:rPr>
        <w:t xml:space="preserve">over </w:t>
      </w:r>
      <w:r>
        <w:rPr>
          <w:rFonts w:ascii="Palatino Linotype" w:eastAsia="Times New Roman" w:hAnsi="Palatino Linotype"/>
          <w:sz w:val="22"/>
          <w:szCs w:val="22"/>
        </w:rPr>
        <w:t>August</w:t>
      </w:r>
      <w:r w:rsidR="006677F4">
        <w:rPr>
          <w:rFonts w:ascii="Palatino Linotype" w:eastAsia="Times New Roman" w:hAnsi="Palatino Linotype"/>
          <w:sz w:val="22"/>
          <w:szCs w:val="22"/>
        </w:rPr>
        <w:t>’s closing.</w:t>
      </w:r>
    </w:p>
    <w:p w:rsidR="006A5E7D" w:rsidRPr="00DF7E39" w:rsidRDefault="006677F4" w:rsidP="003C51EB">
      <w:pPr>
        <w:pStyle w:val="ListParagraph"/>
        <w:numPr>
          <w:ilvl w:val="0"/>
          <w:numId w:val="4"/>
        </w:numPr>
        <w:jc w:val="both"/>
        <w:rPr>
          <w:rFonts w:ascii="Palatino Linotype" w:eastAsia="Times New Roman" w:hAnsi="Palatino Linotype"/>
          <w:sz w:val="22"/>
          <w:szCs w:val="22"/>
        </w:rPr>
      </w:pPr>
      <w:r>
        <w:rPr>
          <w:rFonts w:ascii="Palatino Linotype" w:eastAsia="Times New Roman" w:hAnsi="Palatino Linotype"/>
          <w:sz w:val="22"/>
          <w:szCs w:val="22"/>
        </w:rPr>
        <w:lastRenderedPageBreak/>
        <w:t xml:space="preserve">S&amp;P </w:t>
      </w:r>
      <w:r w:rsidR="006A5E7D" w:rsidRPr="00DF7E39">
        <w:rPr>
          <w:rFonts w:ascii="Palatino Linotype" w:eastAsia="Times New Roman" w:hAnsi="Palatino Linotype"/>
          <w:sz w:val="22"/>
          <w:szCs w:val="22"/>
        </w:rPr>
        <w:t xml:space="preserve">Sensex </w:t>
      </w:r>
      <w:r>
        <w:rPr>
          <w:rFonts w:ascii="Palatino Linotype" w:eastAsia="Times New Roman" w:hAnsi="Palatino Linotype"/>
          <w:sz w:val="22"/>
          <w:szCs w:val="22"/>
        </w:rPr>
        <w:t xml:space="preserve">closed </w:t>
      </w:r>
      <w:r w:rsidR="003C51EB">
        <w:rPr>
          <w:rFonts w:ascii="Palatino Linotype" w:eastAsia="Times New Roman" w:hAnsi="Palatino Linotype"/>
          <w:sz w:val="22"/>
          <w:szCs w:val="22"/>
        </w:rPr>
        <w:t xml:space="preserve">at </w:t>
      </w:r>
      <w:r w:rsidR="003C51EB" w:rsidRPr="003C51EB">
        <w:rPr>
          <w:rFonts w:ascii="Palatino Linotype" w:eastAsia="Times New Roman" w:hAnsi="Palatino Linotype"/>
          <w:sz w:val="22"/>
          <w:szCs w:val="22"/>
        </w:rPr>
        <w:t xml:space="preserve">38,667 </w:t>
      </w:r>
      <w:r>
        <w:rPr>
          <w:rFonts w:ascii="Palatino Linotype" w:eastAsia="Times New Roman" w:hAnsi="Palatino Linotype"/>
          <w:sz w:val="22"/>
          <w:szCs w:val="22"/>
        </w:rPr>
        <w:t xml:space="preserve">on </w:t>
      </w:r>
      <w:r w:rsidR="003C51EB">
        <w:rPr>
          <w:rFonts w:ascii="Palatino Linotype" w:eastAsia="Times New Roman" w:hAnsi="Palatino Linotype"/>
          <w:sz w:val="22"/>
          <w:szCs w:val="22"/>
        </w:rPr>
        <w:t>September</w:t>
      </w:r>
      <w:r>
        <w:rPr>
          <w:rFonts w:ascii="Palatino Linotype" w:eastAsia="Times New Roman" w:hAnsi="Palatino Linotype"/>
          <w:sz w:val="22"/>
          <w:szCs w:val="22"/>
        </w:rPr>
        <w:t xml:space="preserve"> 30</w:t>
      </w:r>
      <w:r w:rsidR="00596E5C">
        <w:rPr>
          <w:rFonts w:ascii="Palatino Linotype" w:eastAsia="Times New Roman" w:hAnsi="Palatino Linotype"/>
          <w:sz w:val="22"/>
          <w:szCs w:val="22"/>
        </w:rPr>
        <w:t>,</w:t>
      </w:r>
      <w:r>
        <w:rPr>
          <w:rFonts w:ascii="Palatino Linotype" w:eastAsia="Times New Roman" w:hAnsi="Palatino Linotype"/>
          <w:sz w:val="22"/>
          <w:szCs w:val="22"/>
        </w:rPr>
        <w:t xml:space="preserve"> 2019, </w:t>
      </w:r>
      <w:r w:rsidR="00596E5C">
        <w:rPr>
          <w:rFonts w:ascii="Palatino Linotype" w:eastAsia="Times New Roman" w:hAnsi="Palatino Linotype"/>
          <w:sz w:val="22"/>
          <w:szCs w:val="22"/>
        </w:rPr>
        <w:t>a</w:t>
      </w:r>
      <w:r w:rsidR="003C51EB">
        <w:rPr>
          <w:rFonts w:ascii="Palatino Linotype" w:eastAsia="Times New Roman" w:hAnsi="Palatino Linotype"/>
          <w:sz w:val="22"/>
          <w:szCs w:val="22"/>
        </w:rPr>
        <w:t>n</w:t>
      </w:r>
      <w:r w:rsidR="00596E5C">
        <w:rPr>
          <w:rFonts w:ascii="Palatino Linotype" w:eastAsia="Times New Roman" w:hAnsi="Palatino Linotype"/>
          <w:sz w:val="22"/>
          <w:szCs w:val="22"/>
        </w:rPr>
        <w:t xml:space="preserve"> </w:t>
      </w:r>
      <w:r w:rsidR="003C51EB">
        <w:rPr>
          <w:rFonts w:ascii="Palatino Linotype" w:eastAsia="Times New Roman" w:hAnsi="Palatino Linotype"/>
          <w:sz w:val="22"/>
          <w:szCs w:val="22"/>
        </w:rPr>
        <w:t>in</w:t>
      </w:r>
      <w:r>
        <w:rPr>
          <w:rFonts w:ascii="Palatino Linotype" w:eastAsia="Times New Roman" w:hAnsi="Palatino Linotype"/>
          <w:sz w:val="22"/>
          <w:szCs w:val="22"/>
        </w:rPr>
        <w:t xml:space="preserve">crease </w:t>
      </w:r>
      <w:r w:rsidR="00596E5C">
        <w:rPr>
          <w:rFonts w:ascii="Palatino Linotype" w:eastAsia="Times New Roman" w:hAnsi="Palatino Linotype"/>
          <w:sz w:val="22"/>
          <w:szCs w:val="22"/>
        </w:rPr>
        <w:t>of</w:t>
      </w:r>
      <w:r>
        <w:rPr>
          <w:rFonts w:ascii="Palatino Linotype" w:eastAsia="Times New Roman" w:hAnsi="Palatino Linotype"/>
          <w:sz w:val="22"/>
          <w:szCs w:val="22"/>
        </w:rPr>
        <w:t xml:space="preserve"> </w:t>
      </w:r>
      <w:r w:rsidR="003C51EB">
        <w:rPr>
          <w:rFonts w:ascii="Palatino Linotype" w:eastAsia="Times New Roman" w:hAnsi="Palatino Linotype"/>
          <w:sz w:val="22"/>
          <w:szCs w:val="22"/>
        </w:rPr>
        <w:t>1</w:t>
      </w:r>
      <w:r w:rsidR="002E627C">
        <w:rPr>
          <w:rFonts w:ascii="Palatino Linotype" w:eastAsia="Times New Roman" w:hAnsi="Palatino Linotype"/>
          <w:sz w:val="22"/>
          <w:szCs w:val="22"/>
        </w:rPr>
        <w:t>,</w:t>
      </w:r>
      <w:r w:rsidR="003C51EB">
        <w:rPr>
          <w:rFonts w:ascii="Palatino Linotype" w:eastAsia="Times New Roman" w:hAnsi="Palatino Linotype"/>
          <w:sz w:val="22"/>
          <w:szCs w:val="22"/>
        </w:rPr>
        <w:t>335</w:t>
      </w:r>
      <w:r w:rsidR="006A5E7D" w:rsidRPr="00DF7E39">
        <w:rPr>
          <w:rFonts w:ascii="Palatino Linotype" w:eastAsia="Times New Roman" w:hAnsi="Palatino Linotype"/>
          <w:sz w:val="22"/>
          <w:szCs w:val="22"/>
        </w:rPr>
        <w:t xml:space="preserve"> points (</w:t>
      </w:r>
      <w:r w:rsidR="003C51EB">
        <w:rPr>
          <w:rFonts w:ascii="Palatino Linotype" w:eastAsia="Times New Roman" w:hAnsi="Palatino Linotype"/>
          <w:sz w:val="22"/>
          <w:szCs w:val="22"/>
        </w:rPr>
        <w:t>3.6</w:t>
      </w:r>
      <w:r w:rsidR="006A5E7D" w:rsidRPr="00DF7E39">
        <w:rPr>
          <w:rFonts w:ascii="Palatino Linotype" w:eastAsia="Times New Roman" w:hAnsi="Palatino Linotype"/>
          <w:sz w:val="22"/>
          <w:szCs w:val="22"/>
        </w:rPr>
        <w:t xml:space="preserve"> </w:t>
      </w:r>
      <w:r w:rsidR="00B6405A">
        <w:rPr>
          <w:rFonts w:ascii="Palatino Linotype" w:eastAsia="Times New Roman" w:hAnsi="Palatino Linotype"/>
          <w:sz w:val="22"/>
          <w:szCs w:val="22"/>
        </w:rPr>
        <w:t>per cent</w:t>
      </w:r>
      <w:r w:rsidR="0010444E">
        <w:rPr>
          <w:rFonts w:ascii="Palatino Linotype" w:eastAsia="Times New Roman" w:hAnsi="Palatino Linotype"/>
          <w:sz w:val="22"/>
          <w:szCs w:val="22"/>
        </w:rPr>
        <w:t>) over previous month.</w:t>
      </w:r>
    </w:p>
    <w:p w:rsidR="006D430E" w:rsidRPr="00DF7E39" w:rsidRDefault="006A5E7D" w:rsidP="003C51EB">
      <w:pPr>
        <w:pStyle w:val="ListParagraph"/>
        <w:numPr>
          <w:ilvl w:val="0"/>
          <w:numId w:val="4"/>
        </w:numPr>
        <w:jc w:val="both"/>
        <w:rPr>
          <w:rFonts w:ascii="Palatino Linotype" w:eastAsia="Times New Roman" w:hAnsi="Palatino Linotype"/>
          <w:sz w:val="22"/>
          <w:szCs w:val="22"/>
        </w:rPr>
      </w:pPr>
      <w:r w:rsidRPr="00DF7E39">
        <w:rPr>
          <w:rFonts w:ascii="Palatino Linotype" w:eastAsia="Times New Roman" w:hAnsi="Palatino Linotype"/>
          <w:sz w:val="22"/>
          <w:szCs w:val="22"/>
        </w:rPr>
        <w:t xml:space="preserve">Nifty touched high at </w:t>
      </w:r>
      <w:r w:rsidR="003C51EB" w:rsidRPr="003C51EB">
        <w:rPr>
          <w:rFonts w:ascii="Palatino Linotype" w:eastAsia="Times New Roman" w:hAnsi="Palatino Linotype"/>
          <w:sz w:val="22"/>
          <w:szCs w:val="22"/>
        </w:rPr>
        <w:t>11</w:t>
      </w:r>
      <w:r w:rsidR="002E627C">
        <w:rPr>
          <w:rFonts w:ascii="Palatino Linotype" w:eastAsia="Times New Roman" w:hAnsi="Palatino Linotype"/>
          <w:sz w:val="22"/>
          <w:szCs w:val="22"/>
        </w:rPr>
        <w:t>,</w:t>
      </w:r>
      <w:r w:rsidR="003C51EB" w:rsidRPr="003C51EB">
        <w:rPr>
          <w:rFonts w:ascii="Palatino Linotype" w:eastAsia="Times New Roman" w:hAnsi="Palatino Linotype"/>
          <w:sz w:val="22"/>
          <w:szCs w:val="22"/>
        </w:rPr>
        <w:t>600</w:t>
      </w:r>
      <w:r w:rsidR="003C51EB">
        <w:rPr>
          <w:rFonts w:ascii="Palatino Linotype" w:eastAsia="Times New Roman" w:hAnsi="Palatino Linotype"/>
          <w:sz w:val="22"/>
          <w:szCs w:val="22"/>
        </w:rPr>
        <w:t xml:space="preserve"> </w:t>
      </w:r>
      <w:r w:rsidRPr="00DF7E39">
        <w:rPr>
          <w:rFonts w:ascii="Palatino Linotype" w:eastAsia="Times New Roman" w:hAnsi="Palatino Linotype"/>
          <w:sz w:val="22"/>
          <w:szCs w:val="22"/>
        </w:rPr>
        <w:t xml:space="preserve">on </w:t>
      </w:r>
      <w:r w:rsidR="003C51EB">
        <w:rPr>
          <w:rFonts w:ascii="Palatino Linotype" w:eastAsia="Times New Roman" w:hAnsi="Palatino Linotype"/>
          <w:sz w:val="22"/>
          <w:szCs w:val="22"/>
        </w:rPr>
        <w:t>September 23,</w:t>
      </w:r>
      <w:r w:rsidRPr="00DF7E39">
        <w:rPr>
          <w:rFonts w:ascii="Palatino Linotype" w:eastAsia="Times New Roman" w:hAnsi="Palatino Linotype"/>
          <w:sz w:val="22"/>
          <w:szCs w:val="22"/>
        </w:rPr>
        <w:t xml:space="preserve"> 2019</w:t>
      </w:r>
      <w:r w:rsidR="0010444E">
        <w:rPr>
          <w:rFonts w:ascii="Palatino Linotype" w:eastAsia="Times New Roman" w:hAnsi="Palatino Linotype"/>
          <w:sz w:val="22"/>
          <w:szCs w:val="22"/>
        </w:rPr>
        <w:t xml:space="preserve"> and Sensex </w:t>
      </w:r>
      <w:r w:rsidR="009846CF">
        <w:rPr>
          <w:rFonts w:ascii="Palatino Linotype" w:eastAsia="Times New Roman" w:hAnsi="Palatino Linotype"/>
          <w:sz w:val="22"/>
          <w:szCs w:val="22"/>
        </w:rPr>
        <w:t>touched high</w:t>
      </w:r>
      <w:r w:rsidR="0010444E">
        <w:rPr>
          <w:rFonts w:ascii="Palatino Linotype" w:eastAsia="Times New Roman" w:hAnsi="Palatino Linotype"/>
          <w:sz w:val="22"/>
          <w:szCs w:val="22"/>
        </w:rPr>
        <w:t xml:space="preserve"> </w:t>
      </w:r>
      <w:r w:rsidR="00D86166">
        <w:rPr>
          <w:rFonts w:ascii="Palatino Linotype" w:eastAsia="Times New Roman" w:hAnsi="Palatino Linotype"/>
          <w:sz w:val="22"/>
          <w:szCs w:val="22"/>
        </w:rPr>
        <w:t>of</w:t>
      </w:r>
      <w:r w:rsidR="007B0A17">
        <w:rPr>
          <w:rFonts w:ascii="Palatino Linotype" w:eastAsia="Times New Roman" w:hAnsi="Palatino Linotype"/>
          <w:sz w:val="22"/>
          <w:szCs w:val="22"/>
        </w:rPr>
        <w:t xml:space="preserve"> </w:t>
      </w:r>
      <w:r w:rsidR="003C51EB" w:rsidRPr="003C51EB">
        <w:rPr>
          <w:rFonts w:ascii="Palatino Linotype" w:eastAsia="Times New Roman" w:hAnsi="Palatino Linotype"/>
          <w:sz w:val="22"/>
          <w:szCs w:val="22"/>
        </w:rPr>
        <w:t>39</w:t>
      </w:r>
      <w:r w:rsidR="002E627C">
        <w:rPr>
          <w:rFonts w:ascii="Palatino Linotype" w:eastAsia="Times New Roman" w:hAnsi="Palatino Linotype"/>
          <w:sz w:val="22"/>
          <w:szCs w:val="22"/>
        </w:rPr>
        <w:t>,</w:t>
      </w:r>
      <w:r w:rsidR="003C51EB" w:rsidRPr="003C51EB">
        <w:rPr>
          <w:rFonts w:ascii="Palatino Linotype" w:eastAsia="Times New Roman" w:hAnsi="Palatino Linotype"/>
          <w:sz w:val="22"/>
          <w:szCs w:val="22"/>
        </w:rPr>
        <w:t>097</w:t>
      </w:r>
      <w:r w:rsidR="003C51EB">
        <w:rPr>
          <w:rFonts w:ascii="Palatino Linotype" w:eastAsia="Times New Roman" w:hAnsi="Palatino Linotype"/>
          <w:sz w:val="22"/>
          <w:szCs w:val="22"/>
        </w:rPr>
        <w:t xml:space="preserve"> </w:t>
      </w:r>
      <w:r w:rsidR="0010444E">
        <w:rPr>
          <w:rFonts w:ascii="Palatino Linotype" w:eastAsia="Times New Roman" w:hAnsi="Palatino Linotype"/>
          <w:sz w:val="22"/>
          <w:szCs w:val="22"/>
        </w:rPr>
        <w:t xml:space="preserve">on </w:t>
      </w:r>
      <w:r w:rsidR="003C51EB">
        <w:rPr>
          <w:rFonts w:ascii="Palatino Linotype" w:eastAsia="Times New Roman" w:hAnsi="Palatino Linotype"/>
          <w:sz w:val="22"/>
          <w:szCs w:val="22"/>
        </w:rPr>
        <w:t>September 24,</w:t>
      </w:r>
      <w:r w:rsidR="003C51EB" w:rsidRPr="00DF7E39">
        <w:rPr>
          <w:rFonts w:ascii="Palatino Linotype" w:eastAsia="Times New Roman" w:hAnsi="Palatino Linotype"/>
          <w:sz w:val="22"/>
          <w:szCs w:val="22"/>
        </w:rPr>
        <w:t xml:space="preserve"> 2019</w:t>
      </w:r>
      <w:r w:rsidRPr="00DF7E39">
        <w:rPr>
          <w:rFonts w:ascii="Palatino Linotype" w:eastAsia="Times New Roman" w:hAnsi="Palatino Linotype"/>
          <w:sz w:val="22"/>
          <w:szCs w:val="22"/>
        </w:rPr>
        <w:t xml:space="preserve">. </w:t>
      </w:r>
    </w:p>
    <w:p w:rsidR="006D430E" w:rsidRPr="00DF7E39" w:rsidRDefault="006D430E" w:rsidP="003C51EB">
      <w:pPr>
        <w:pStyle w:val="ListParagraph"/>
        <w:numPr>
          <w:ilvl w:val="0"/>
          <w:numId w:val="4"/>
        </w:numPr>
        <w:jc w:val="both"/>
        <w:rPr>
          <w:rFonts w:ascii="Palatino Linotype" w:eastAsia="Times New Roman" w:hAnsi="Palatino Linotype"/>
          <w:sz w:val="22"/>
          <w:szCs w:val="22"/>
        </w:rPr>
      </w:pPr>
      <w:r w:rsidRPr="00DF7E39">
        <w:rPr>
          <w:rFonts w:ascii="Palatino Linotype" w:eastAsia="Times New Roman" w:hAnsi="Palatino Linotype"/>
          <w:sz w:val="22"/>
          <w:szCs w:val="22"/>
        </w:rPr>
        <w:t xml:space="preserve">Nifty touched </w:t>
      </w:r>
      <w:r w:rsidR="003C51EB">
        <w:rPr>
          <w:rFonts w:ascii="Palatino Linotype" w:eastAsia="Times New Roman" w:hAnsi="Palatino Linotype"/>
          <w:sz w:val="22"/>
          <w:szCs w:val="22"/>
        </w:rPr>
        <w:t>its</w:t>
      </w:r>
      <w:r w:rsidR="0010444E" w:rsidRPr="0010444E">
        <w:rPr>
          <w:rFonts w:ascii="Palatino Linotype" w:eastAsia="Times New Roman" w:hAnsi="Palatino Linotype"/>
          <w:sz w:val="22"/>
          <w:szCs w:val="22"/>
        </w:rPr>
        <w:t xml:space="preserve"> </w:t>
      </w:r>
      <w:r w:rsidRPr="00DF7E39">
        <w:rPr>
          <w:rFonts w:ascii="Palatino Linotype" w:eastAsia="Times New Roman" w:hAnsi="Palatino Linotype"/>
          <w:sz w:val="22"/>
          <w:szCs w:val="22"/>
        </w:rPr>
        <w:t xml:space="preserve">low at </w:t>
      </w:r>
      <w:r w:rsidR="003C51EB" w:rsidRPr="003C51EB">
        <w:rPr>
          <w:rFonts w:ascii="Palatino Linotype" w:eastAsia="Times New Roman" w:hAnsi="Palatino Linotype"/>
          <w:sz w:val="22"/>
          <w:szCs w:val="22"/>
        </w:rPr>
        <w:t>10</w:t>
      </w:r>
      <w:r w:rsidR="002E627C">
        <w:rPr>
          <w:rFonts w:ascii="Palatino Linotype" w:eastAsia="Times New Roman" w:hAnsi="Palatino Linotype"/>
          <w:sz w:val="22"/>
          <w:szCs w:val="22"/>
        </w:rPr>
        <w:t>,</w:t>
      </w:r>
      <w:r w:rsidR="003C51EB" w:rsidRPr="003C51EB">
        <w:rPr>
          <w:rFonts w:ascii="Palatino Linotype" w:eastAsia="Times New Roman" w:hAnsi="Palatino Linotype"/>
          <w:sz w:val="22"/>
          <w:szCs w:val="22"/>
        </w:rPr>
        <w:t>705</w:t>
      </w:r>
      <w:r w:rsidR="003C51EB">
        <w:rPr>
          <w:rFonts w:ascii="Palatino Linotype" w:eastAsia="Times New Roman" w:hAnsi="Palatino Linotype"/>
          <w:sz w:val="22"/>
          <w:szCs w:val="22"/>
        </w:rPr>
        <w:t xml:space="preserve"> on September 13, 2019 while Sensex touched its low at </w:t>
      </w:r>
      <w:r w:rsidR="003C51EB" w:rsidRPr="003C51EB">
        <w:rPr>
          <w:rFonts w:ascii="Palatino Linotype" w:eastAsia="Times New Roman" w:hAnsi="Palatino Linotype"/>
          <w:sz w:val="22"/>
          <w:szCs w:val="22"/>
        </w:rPr>
        <w:t>36</w:t>
      </w:r>
      <w:r w:rsidR="002E627C">
        <w:rPr>
          <w:rFonts w:ascii="Palatino Linotype" w:eastAsia="Times New Roman" w:hAnsi="Palatino Linotype"/>
          <w:sz w:val="22"/>
          <w:szCs w:val="22"/>
        </w:rPr>
        <w:t>,</w:t>
      </w:r>
      <w:r w:rsidR="003C51EB" w:rsidRPr="003C51EB">
        <w:rPr>
          <w:rFonts w:ascii="Palatino Linotype" w:eastAsia="Times New Roman" w:hAnsi="Palatino Linotype"/>
          <w:sz w:val="22"/>
          <w:szCs w:val="22"/>
        </w:rPr>
        <w:t>093</w:t>
      </w:r>
      <w:r w:rsidRPr="00DF7E39">
        <w:rPr>
          <w:rFonts w:ascii="Palatino Linotype" w:eastAsia="Times New Roman" w:hAnsi="Palatino Linotype"/>
          <w:sz w:val="22"/>
          <w:szCs w:val="22"/>
        </w:rPr>
        <w:t xml:space="preserve"> on </w:t>
      </w:r>
      <w:r w:rsidR="003C51EB" w:rsidRPr="003C51EB">
        <w:rPr>
          <w:rFonts w:ascii="Palatino Linotype" w:eastAsia="Times New Roman" w:hAnsi="Palatino Linotype"/>
          <w:sz w:val="22"/>
          <w:szCs w:val="22"/>
        </w:rPr>
        <w:t>September 1</w:t>
      </w:r>
      <w:r w:rsidR="003C51EB">
        <w:rPr>
          <w:rFonts w:ascii="Palatino Linotype" w:eastAsia="Times New Roman" w:hAnsi="Palatino Linotype"/>
          <w:sz w:val="22"/>
          <w:szCs w:val="22"/>
        </w:rPr>
        <w:t>9</w:t>
      </w:r>
      <w:r w:rsidR="003C51EB" w:rsidRPr="003C51EB">
        <w:rPr>
          <w:rFonts w:ascii="Palatino Linotype" w:eastAsia="Times New Roman" w:hAnsi="Palatino Linotype"/>
          <w:sz w:val="22"/>
          <w:szCs w:val="22"/>
        </w:rPr>
        <w:t>, 2019</w:t>
      </w:r>
      <w:r w:rsidRPr="00DF7E39">
        <w:rPr>
          <w:rFonts w:ascii="Palatino Linotype" w:eastAsia="Times New Roman" w:hAnsi="Palatino Linotype"/>
          <w:sz w:val="22"/>
          <w:szCs w:val="22"/>
        </w:rPr>
        <w:t>.</w:t>
      </w:r>
    </w:p>
    <w:p w:rsidR="00E34D03" w:rsidRPr="00E34D03" w:rsidRDefault="00E34D03" w:rsidP="00E34D03">
      <w:pPr>
        <w:pStyle w:val="ListParagraph"/>
        <w:outlineLvl w:val="0"/>
        <w:rPr>
          <w:rFonts w:ascii="Palatino Linotype" w:hAnsi="Palatino Linotype"/>
          <w:b/>
          <w:bCs/>
          <w:sz w:val="22"/>
          <w:szCs w:val="22"/>
        </w:rPr>
      </w:pPr>
      <w:r>
        <w:rPr>
          <w:rFonts w:ascii="Palatino Linotype" w:hAnsi="Palatino Linotype"/>
          <w:b/>
          <w:bCs/>
          <w:sz w:val="22"/>
          <w:szCs w:val="22"/>
        </w:rPr>
        <w:t xml:space="preserve">                    </w:t>
      </w:r>
      <w:r w:rsidRPr="00E34D03">
        <w:rPr>
          <w:rFonts w:ascii="Palatino Linotype" w:hAnsi="Palatino Linotype"/>
          <w:b/>
          <w:bCs/>
          <w:sz w:val="22"/>
          <w:szCs w:val="22"/>
        </w:rPr>
        <w:t xml:space="preserve">Figure </w:t>
      </w:r>
      <w:r w:rsidRPr="00E34D03">
        <w:rPr>
          <w:rFonts w:ascii="Palatino Linotype" w:hAnsi="Palatino Linotype"/>
          <w:b/>
          <w:bCs/>
          <w:sz w:val="22"/>
          <w:szCs w:val="22"/>
        </w:rPr>
        <w:fldChar w:fldCharType="begin"/>
      </w:r>
      <w:r w:rsidRPr="00E34D03">
        <w:rPr>
          <w:rFonts w:ascii="Palatino Linotype" w:hAnsi="Palatino Linotype"/>
          <w:b/>
          <w:bCs/>
          <w:sz w:val="22"/>
          <w:szCs w:val="22"/>
        </w:rPr>
        <w:instrText xml:space="preserve"> SEQ Figure \* ARABIC </w:instrText>
      </w:r>
      <w:r w:rsidRPr="00E34D03">
        <w:rPr>
          <w:rFonts w:ascii="Palatino Linotype" w:hAnsi="Palatino Linotype"/>
          <w:b/>
          <w:bCs/>
          <w:sz w:val="22"/>
          <w:szCs w:val="22"/>
        </w:rPr>
        <w:fldChar w:fldCharType="separate"/>
      </w:r>
      <w:r w:rsidRPr="00E34D03">
        <w:rPr>
          <w:rFonts w:ascii="Palatino Linotype" w:hAnsi="Palatino Linotype"/>
          <w:b/>
          <w:bCs/>
          <w:noProof/>
          <w:sz w:val="22"/>
          <w:szCs w:val="22"/>
        </w:rPr>
        <w:t>1</w:t>
      </w:r>
      <w:r w:rsidRPr="00E34D03">
        <w:rPr>
          <w:rFonts w:ascii="Palatino Linotype" w:hAnsi="Palatino Linotype"/>
          <w:b/>
          <w:bCs/>
          <w:sz w:val="22"/>
          <w:szCs w:val="22"/>
        </w:rPr>
        <w:fldChar w:fldCharType="end"/>
      </w:r>
      <w:r w:rsidRPr="00E34D03">
        <w:rPr>
          <w:rFonts w:ascii="Palatino Linotype" w:hAnsi="Palatino Linotype"/>
          <w:b/>
          <w:bCs/>
          <w:sz w:val="22"/>
          <w:szCs w:val="22"/>
        </w:rPr>
        <w:t xml:space="preserve">: Movement of Sensex and Nifty during </w:t>
      </w:r>
      <w:r w:rsidR="002D2DC8">
        <w:rPr>
          <w:rFonts w:ascii="Palatino Linotype" w:hAnsi="Palatino Linotype"/>
          <w:b/>
          <w:bCs/>
          <w:sz w:val="22"/>
          <w:szCs w:val="22"/>
        </w:rPr>
        <w:t>September</w:t>
      </w:r>
      <w:r w:rsidRPr="00E34D03">
        <w:rPr>
          <w:rFonts w:ascii="Palatino Linotype" w:hAnsi="Palatino Linotype"/>
          <w:b/>
          <w:bCs/>
          <w:sz w:val="22"/>
          <w:szCs w:val="22"/>
        </w:rPr>
        <w:t xml:space="preserve"> 2019</w:t>
      </w:r>
    </w:p>
    <w:p w:rsidR="005A1BA3" w:rsidRDefault="002D2DC8" w:rsidP="005A1BA3">
      <w:pPr>
        <w:jc w:val="center"/>
        <w:rPr>
          <w:rFonts w:ascii="Palatino Linotype" w:eastAsia="Times New Roman" w:hAnsi="Palatino Linotype"/>
          <w:sz w:val="22"/>
          <w:szCs w:val="22"/>
        </w:rPr>
      </w:pPr>
      <w:r>
        <w:rPr>
          <w:noProof/>
          <w:lang w:val="en-US" w:bidi="hi-IN"/>
        </w:rPr>
        <w:drawing>
          <wp:inline distT="0" distB="0" distL="0" distR="0" wp14:anchorId="6A89F6BA" wp14:editId="4652CBB3">
            <wp:extent cx="5308025" cy="2757055"/>
            <wp:effectExtent l="0" t="0" r="698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19FE" w:rsidRPr="00DD19FE" w:rsidRDefault="00DD19FE" w:rsidP="00DD19FE">
      <w:pPr>
        <w:autoSpaceDE w:val="0"/>
        <w:autoSpaceDN w:val="0"/>
        <w:adjustRightInd w:val="0"/>
        <w:rPr>
          <w:rFonts w:ascii="Palatino Linotype" w:hAnsi="Palatino Linotype" w:cs="Tahoma"/>
          <w:b/>
          <w:color w:val="000000"/>
          <w:sz w:val="18"/>
          <w:szCs w:val="18"/>
          <w:lang w:val="en-US"/>
        </w:rPr>
      </w:pPr>
      <w:r w:rsidRPr="00DD19FE">
        <w:rPr>
          <w:rFonts w:ascii="Palatino Linotype" w:eastAsia="Times New Roman" w:hAnsi="Palatino Linotype"/>
          <w:b/>
          <w:sz w:val="18"/>
          <w:szCs w:val="18"/>
        </w:rPr>
        <w:t xml:space="preserve">                     </w:t>
      </w:r>
      <w:r w:rsidRPr="00DD19FE">
        <w:rPr>
          <w:rFonts w:ascii="Palatino Linotype" w:hAnsi="Palatino Linotype" w:cs="Tahoma"/>
          <w:b/>
          <w:color w:val="000000"/>
          <w:sz w:val="18"/>
          <w:szCs w:val="18"/>
          <w:lang w:val="en-US"/>
        </w:rPr>
        <w:t xml:space="preserve">Note: </w:t>
      </w:r>
      <w:r w:rsidR="009C0670">
        <w:rPr>
          <w:rFonts w:ascii="Palatino Linotype" w:hAnsi="Palatino Linotype" w:cs="Tahoma"/>
          <w:b/>
          <w:color w:val="000000"/>
          <w:sz w:val="18"/>
          <w:szCs w:val="18"/>
          <w:lang w:val="en-US"/>
        </w:rPr>
        <w:t xml:space="preserve">The closing value of </w:t>
      </w:r>
      <w:r w:rsidRPr="00DD19FE">
        <w:rPr>
          <w:rFonts w:ascii="Palatino Linotype" w:hAnsi="Palatino Linotype" w:cs="Tahoma"/>
          <w:b/>
          <w:color w:val="000000"/>
          <w:sz w:val="18"/>
          <w:szCs w:val="18"/>
          <w:lang w:val="en-US"/>
        </w:rPr>
        <w:t xml:space="preserve">Nifty 50 and Sexsex have been </w:t>
      </w:r>
      <w:r w:rsidR="004225E9">
        <w:rPr>
          <w:rFonts w:ascii="Palatino Linotype" w:hAnsi="Palatino Linotype" w:cs="Tahoma"/>
          <w:b/>
          <w:color w:val="000000"/>
          <w:sz w:val="18"/>
          <w:szCs w:val="18"/>
          <w:lang w:val="en-US"/>
        </w:rPr>
        <w:t>normalised</w:t>
      </w:r>
      <w:r w:rsidRPr="00DD19FE">
        <w:rPr>
          <w:rFonts w:ascii="Palatino Linotype" w:hAnsi="Palatino Linotype" w:cs="Tahoma"/>
          <w:b/>
          <w:color w:val="000000"/>
          <w:sz w:val="18"/>
          <w:szCs w:val="18"/>
          <w:lang w:val="en-US"/>
        </w:rPr>
        <w:t xml:space="preserve"> </w:t>
      </w:r>
      <w:r w:rsidR="009C0670">
        <w:rPr>
          <w:rFonts w:ascii="Palatino Linotype" w:hAnsi="Palatino Linotype" w:cs="Tahoma"/>
          <w:b/>
          <w:color w:val="000000"/>
          <w:sz w:val="18"/>
          <w:szCs w:val="18"/>
          <w:lang w:val="en-US"/>
        </w:rPr>
        <w:t>to</w:t>
      </w:r>
      <w:r w:rsidRPr="00DD19FE">
        <w:rPr>
          <w:rFonts w:ascii="Palatino Linotype" w:hAnsi="Palatino Linotype" w:cs="Tahoma"/>
          <w:b/>
          <w:color w:val="000000"/>
          <w:sz w:val="18"/>
          <w:szCs w:val="18"/>
          <w:lang w:val="en-US"/>
        </w:rPr>
        <w:t xml:space="preserve">100 on </w:t>
      </w:r>
      <w:r w:rsidR="002D2DC8">
        <w:rPr>
          <w:rFonts w:ascii="Palatino Linotype" w:hAnsi="Palatino Linotype" w:cs="Tahoma"/>
          <w:b/>
          <w:color w:val="000000"/>
          <w:sz w:val="18"/>
          <w:szCs w:val="18"/>
          <w:lang w:val="en-US"/>
        </w:rPr>
        <w:t>September</w:t>
      </w:r>
      <w:r w:rsidRPr="00DD19FE">
        <w:rPr>
          <w:rFonts w:ascii="Palatino Linotype" w:hAnsi="Palatino Linotype" w:cs="Tahoma"/>
          <w:b/>
          <w:color w:val="000000"/>
          <w:sz w:val="18"/>
          <w:szCs w:val="18"/>
          <w:lang w:val="en-US"/>
        </w:rPr>
        <w:t xml:space="preserve"> 0</w:t>
      </w:r>
      <w:r w:rsidR="002D2DC8">
        <w:rPr>
          <w:rFonts w:ascii="Palatino Linotype" w:hAnsi="Palatino Linotype" w:cs="Tahoma"/>
          <w:b/>
          <w:color w:val="000000"/>
          <w:sz w:val="18"/>
          <w:szCs w:val="18"/>
          <w:lang w:val="en-US"/>
        </w:rPr>
        <w:t>3</w:t>
      </w:r>
      <w:r w:rsidRPr="00DD19FE">
        <w:rPr>
          <w:rFonts w:ascii="Palatino Linotype" w:hAnsi="Palatino Linotype" w:cs="Tahoma"/>
          <w:b/>
          <w:color w:val="000000"/>
          <w:sz w:val="18"/>
          <w:szCs w:val="18"/>
          <w:lang w:val="en-US"/>
        </w:rPr>
        <w:t>, 2019.</w:t>
      </w:r>
    </w:p>
    <w:p w:rsidR="00DF7E39" w:rsidRDefault="00DF7E39" w:rsidP="005A1BA3">
      <w:pPr>
        <w:jc w:val="center"/>
        <w:rPr>
          <w:rFonts w:ascii="Palatino Linotype" w:eastAsia="Times New Roman" w:hAnsi="Palatino Linotype"/>
          <w:sz w:val="22"/>
          <w:szCs w:val="22"/>
        </w:rPr>
      </w:pPr>
    </w:p>
    <w:p w:rsidR="00B55791" w:rsidRPr="006E5698" w:rsidRDefault="006D430E" w:rsidP="003C51EB">
      <w:pPr>
        <w:pStyle w:val="ListParagraph"/>
        <w:numPr>
          <w:ilvl w:val="0"/>
          <w:numId w:val="5"/>
        </w:numPr>
        <w:jc w:val="both"/>
        <w:rPr>
          <w:rFonts w:ascii="Palatino Linotype" w:eastAsia="Times New Roman" w:hAnsi="Palatino Linotype"/>
          <w:sz w:val="22"/>
          <w:szCs w:val="22"/>
        </w:rPr>
      </w:pPr>
      <w:r w:rsidRPr="006E5698">
        <w:rPr>
          <w:rFonts w:ascii="Palatino Linotype" w:eastAsia="Times New Roman" w:hAnsi="Palatino Linotype"/>
          <w:sz w:val="22"/>
          <w:szCs w:val="22"/>
        </w:rPr>
        <w:t xml:space="preserve">The market capitalisation of BSE stood at </w:t>
      </w:r>
      <w:r w:rsidR="006446D3" w:rsidRPr="006446D3">
        <w:rPr>
          <w:rFonts w:ascii="Rupee Foradian" w:eastAsia="Times New Roman" w:hAnsi="Rupee Foradian"/>
          <w:b/>
          <w:szCs w:val="22"/>
        </w:rPr>
        <w:t>`</w:t>
      </w:r>
      <w:r w:rsidRPr="006E5698">
        <w:rPr>
          <w:rFonts w:ascii="Palatino Linotype" w:eastAsia="Times New Roman" w:hAnsi="Palatino Linotype"/>
          <w:sz w:val="22"/>
          <w:szCs w:val="22"/>
        </w:rPr>
        <w:t xml:space="preserve"> </w:t>
      </w:r>
      <w:r w:rsidR="003C51EB" w:rsidRPr="003C51EB">
        <w:rPr>
          <w:rFonts w:ascii="Palatino Linotype" w:eastAsia="Times New Roman" w:hAnsi="Palatino Linotype"/>
          <w:sz w:val="22"/>
          <w:szCs w:val="22"/>
        </w:rPr>
        <w:t>1,47,17,456</w:t>
      </w:r>
      <w:r w:rsidR="003C51EB">
        <w:rPr>
          <w:rFonts w:ascii="Palatino Linotype" w:eastAsia="Times New Roman" w:hAnsi="Palatino Linotype"/>
          <w:sz w:val="22"/>
          <w:szCs w:val="22"/>
        </w:rPr>
        <w:t xml:space="preserve"> </w:t>
      </w:r>
      <w:r w:rsidRPr="006E5698">
        <w:rPr>
          <w:rFonts w:ascii="Palatino Linotype" w:eastAsia="Times New Roman" w:hAnsi="Palatino Linotype"/>
          <w:sz w:val="22"/>
          <w:szCs w:val="22"/>
        </w:rPr>
        <w:t xml:space="preserve">crore as on </w:t>
      </w:r>
      <w:r w:rsidR="003C51EB">
        <w:rPr>
          <w:rFonts w:ascii="Palatino Linotype" w:eastAsia="Times New Roman" w:hAnsi="Palatino Linotype"/>
          <w:sz w:val="22"/>
          <w:szCs w:val="22"/>
        </w:rPr>
        <w:t>September</w:t>
      </w:r>
      <w:r w:rsidRPr="006E5698">
        <w:rPr>
          <w:rFonts w:ascii="Palatino Linotype" w:eastAsia="Times New Roman" w:hAnsi="Palatino Linotype"/>
          <w:sz w:val="22"/>
          <w:szCs w:val="22"/>
        </w:rPr>
        <w:t xml:space="preserve"> 3</w:t>
      </w:r>
      <w:r w:rsidR="006E5698" w:rsidRPr="006E5698">
        <w:rPr>
          <w:rFonts w:ascii="Palatino Linotype" w:eastAsia="Times New Roman" w:hAnsi="Palatino Linotype"/>
          <w:sz w:val="22"/>
          <w:szCs w:val="22"/>
        </w:rPr>
        <w:t>0</w:t>
      </w:r>
      <w:r w:rsidR="00D86166">
        <w:rPr>
          <w:rFonts w:ascii="Palatino Linotype" w:eastAsia="Times New Roman" w:hAnsi="Palatino Linotype"/>
          <w:sz w:val="22"/>
          <w:szCs w:val="22"/>
        </w:rPr>
        <w:t>,</w:t>
      </w:r>
      <w:r w:rsidRPr="006E5698">
        <w:rPr>
          <w:rFonts w:ascii="Palatino Linotype" w:eastAsia="Times New Roman" w:hAnsi="Palatino Linotype"/>
          <w:sz w:val="22"/>
          <w:szCs w:val="22"/>
        </w:rPr>
        <w:t xml:space="preserve"> 2019, </w:t>
      </w:r>
      <w:r w:rsidR="003C51EB">
        <w:rPr>
          <w:rFonts w:ascii="Palatino Linotype" w:eastAsia="Times New Roman" w:hAnsi="Palatino Linotype"/>
          <w:sz w:val="22"/>
          <w:szCs w:val="22"/>
        </w:rPr>
        <w:t>in</w:t>
      </w:r>
      <w:r w:rsidRPr="006E5698">
        <w:rPr>
          <w:rFonts w:ascii="Palatino Linotype" w:eastAsia="Times New Roman" w:hAnsi="Palatino Linotype"/>
          <w:sz w:val="22"/>
          <w:szCs w:val="22"/>
        </w:rPr>
        <w:t xml:space="preserve">creased by </w:t>
      </w:r>
      <w:r w:rsidR="003C51EB">
        <w:rPr>
          <w:rFonts w:ascii="Palatino Linotype" w:eastAsia="Times New Roman" w:hAnsi="Palatino Linotype"/>
          <w:sz w:val="22"/>
          <w:szCs w:val="22"/>
        </w:rPr>
        <w:t>4.4</w:t>
      </w:r>
      <w:r w:rsidRPr="006E5698">
        <w:rPr>
          <w:rFonts w:ascii="Palatino Linotype" w:eastAsia="Times New Roman" w:hAnsi="Palatino Linotype"/>
          <w:sz w:val="22"/>
          <w:szCs w:val="22"/>
        </w:rPr>
        <w:t xml:space="preserve"> per cent over previous month.</w:t>
      </w:r>
    </w:p>
    <w:p w:rsidR="00DF7E39" w:rsidRPr="006E5698" w:rsidRDefault="006D430E" w:rsidP="003C51EB">
      <w:pPr>
        <w:pStyle w:val="ListParagraph"/>
        <w:numPr>
          <w:ilvl w:val="0"/>
          <w:numId w:val="5"/>
        </w:numPr>
        <w:jc w:val="both"/>
        <w:rPr>
          <w:rFonts w:ascii="Palatino Linotype" w:eastAsia="Times New Roman" w:hAnsi="Palatino Linotype"/>
          <w:sz w:val="22"/>
          <w:szCs w:val="22"/>
        </w:rPr>
      </w:pPr>
      <w:r w:rsidRPr="006E5698">
        <w:rPr>
          <w:rFonts w:ascii="Palatino Linotype" w:eastAsia="Times New Roman" w:hAnsi="Palatino Linotype"/>
          <w:sz w:val="22"/>
          <w:szCs w:val="22"/>
        </w:rPr>
        <w:t xml:space="preserve">The market capitalisation of NSE stood at </w:t>
      </w:r>
      <w:r w:rsidR="006446D3" w:rsidRPr="006446D3">
        <w:rPr>
          <w:rFonts w:ascii="Rupee Foradian" w:eastAsia="Times New Roman" w:hAnsi="Rupee Foradian"/>
          <w:b/>
          <w:szCs w:val="22"/>
        </w:rPr>
        <w:t>`</w:t>
      </w:r>
      <w:r w:rsidRPr="006E5698">
        <w:rPr>
          <w:rFonts w:ascii="Palatino Linotype" w:eastAsia="Times New Roman" w:hAnsi="Palatino Linotype"/>
          <w:sz w:val="22"/>
          <w:szCs w:val="22"/>
        </w:rPr>
        <w:t xml:space="preserve"> </w:t>
      </w:r>
      <w:r w:rsidR="003C51EB" w:rsidRPr="003C51EB">
        <w:rPr>
          <w:rFonts w:ascii="Palatino Linotype" w:eastAsia="Times New Roman" w:hAnsi="Palatino Linotype"/>
          <w:sz w:val="22"/>
          <w:szCs w:val="22"/>
        </w:rPr>
        <w:t>1,45,73,003</w:t>
      </w:r>
      <w:r w:rsidR="003C51EB">
        <w:rPr>
          <w:rFonts w:ascii="Palatino Linotype" w:eastAsia="Times New Roman" w:hAnsi="Palatino Linotype"/>
          <w:sz w:val="22"/>
          <w:szCs w:val="22"/>
        </w:rPr>
        <w:t xml:space="preserve"> </w:t>
      </w:r>
      <w:r w:rsidRPr="006E5698">
        <w:rPr>
          <w:rFonts w:ascii="Palatino Linotype" w:eastAsia="Times New Roman" w:hAnsi="Palatino Linotype"/>
          <w:sz w:val="22"/>
          <w:szCs w:val="22"/>
        </w:rPr>
        <w:t xml:space="preserve">crore as on </w:t>
      </w:r>
      <w:r w:rsidR="003C51EB">
        <w:rPr>
          <w:rFonts w:ascii="Palatino Linotype" w:eastAsia="Times New Roman" w:hAnsi="Palatino Linotype"/>
          <w:sz w:val="22"/>
          <w:szCs w:val="22"/>
        </w:rPr>
        <w:t>September</w:t>
      </w:r>
      <w:r w:rsidR="006E5698" w:rsidRPr="006E5698">
        <w:rPr>
          <w:rFonts w:ascii="Palatino Linotype" w:eastAsia="Times New Roman" w:hAnsi="Palatino Linotype"/>
          <w:sz w:val="22"/>
          <w:szCs w:val="22"/>
        </w:rPr>
        <w:t xml:space="preserve"> 30</w:t>
      </w:r>
      <w:r w:rsidR="00D86166">
        <w:rPr>
          <w:rFonts w:ascii="Palatino Linotype" w:eastAsia="Times New Roman" w:hAnsi="Palatino Linotype"/>
          <w:sz w:val="22"/>
          <w:szCs w:val="22"/>
        </w:rPr>
        <w:t>,</w:t>
      </w:r>
      <w:r w:rsidR="006E5698" w:rsidRPr="006E5698">
        <w:rPr>
          <w:rFonts w:ascii="Palatino Linotype" w:eastAsia="Times New Roman" w:hAnsi="Palatino Linotype"/>
          <w:sz w:val="22"/>
          <w:szCs w:val="22"/>
        </w:rPr>
        <w:t xml:space="preserve"> 2019</w:t>
      </w:r>
      <w:r w:rsidRPr="006E5698">
        <w:rPr>
          <w:rFonts w:ascii="Palatino Linotype" w:eastAsia="Times New Roman" w:hAnsi="Palatino Linotype"/>
          <w:sz w:val="22"/>
          <w:szCs w:val="22"/>
        </w:rPr>
        <w:t xml:space="preserve">, </w:t>
      </w:r>
      <w:r w:rsidR="003C51EB">
        <w:rPr>
          <w:rFonts w:ascii="Palatino Linotype" w:eastAsia="Times New Roman" w:hAnsi="Palatino Linotype"/>
          <w:sz w:val="22"/>
          <w:szCs w:val="22"/>
        </w:rPr>
        <w:t>in</w:t>
      </w:r>
      <w:r w:rsidRPr="006E5698">
        <w:rPr>
          <w:rFonts w:ascii="Palatino Linotype" w:eastAsia="Times New Roman" w:hAnsi="Palatino Linotype"/>
          <w:sz w:val="22"/>
          <w:szCs w:val="22"/>
        </w:rPr>
        <w:t xml:space="preserve">creased by </w:t>
      </w:r>
      <w:r w:rsidR="003C51EB">
        <w:rPr>
          <w:rFonts w:ascii="Palatino Linotype" w:eastAsia="Times New Roman" w:hAnsi="Palatino Linotype"/>
          <w:sz w:val="22"/>
          <w:szCs w:val="22"/>
        </w:rPr>
        <w:t>4.3</w:t>
      </w:r>
      <w:r w:rsidRPr="006E5698">
        <w:rPr>
          <w:rFonts w:ascii="Palatino Linotype" w:eastAsia="Times New Roman" w:hAnsi="Palatino Linotype"/>
          <w:sz w:val="22"/>
          <w:szCs w:val="22"/>
        </w:rPr>
        <w:t xml:space="preserve"> per cent over previous month.</w:t>
      </w:r>
    </w:p>
    <w:p w:rsidR="00DF7E39" w:rsidRDefault="00DF7E39" w:rsidP="00DF7E39">
      <w:pPr>
        <w:jc w:val="both"/>
        <w:rPr>
          <w:rFonts w:ascii="Palatino Linotype" w:eastAsia="Times New Roman" w:hAnsi="Palatino Linotype"/>
          <w:sz w:val="22"/>
          <w:szCs w:val="22"/>
        </w:rPr>
      </w:pPr>
    </w:p>
    <w:p w:rsidR="00E34D03" w:rsidRPr="00DF7E39" w:rsidRDefault="00E34D03" w:rsidP="00DF7E39">
      <w:pPr>
        <w:pStyle w:val="ListParagraph"/>
        <w:ind w:left="0"/>
        <w:jc w:val="center"/>
        <w:rPr>
          <w:rFonts w:ascii="Palatino Linotype" w:eastAsia="Times New Roman" w:hAnsi="Palatino Linotype"/>
          <w:sz w:val="22"/>
          <w:szCs w:val="22"/>
        </w:rPr>
      </w:pPr>
      <w:r w:rsidRPr="00DF7E39">
        <w:rPr>
          <w:rFonts w:ascii="Palatino Linotype" w:hAnsi="Palatino Linotype"/>
          <w:b/>
          <w:bCs/>
          <w:sz w:val="22"/>
          <w:szCs w:val="22"/>
        </w:rPr>
        <w:t xml:space="preserve">Figure </w:t>
      </w:r>
      <w:r w:rsidRPr="00DF7E39">
        <w:rPr>
          <w:rFonts w:ascii="Palatino Linotype" w:hAnsi="Palatino Linotype"/>
          <w:b/>
          <w:bCs/>
          <w:sz w:val="22"/>
          <w:szCs w:val="22"/>
        </w:rPr>
        <w:fldChar w:fldCharType="begin"/>
      </w:r>
      <w:r w:rsidRPr="00DF7E39">
        <w:rPr>
          <w:rFonts w:ascii="Palatino Linotype" w:hAnsi="Palatino Linotype"/>
          <w:b/>
          <w:bCs/>
          <w:sz w:val="22"/>
          <w:szCs w:val="22"/>
        </w:rPr>
        <w:instrText xml:space="preserve"> SEQ Figure \* ARABIC </w:instrText>
      </w:r>
      <w:r w:rsidRPr="00DF7E39">
        <w:rPr>
          <w:rFonts w:ascii="Palatino Linotype" w:hAnsi="Palatino Linotype"/>
          <w:b/>
          <w:bCs/>
          <w:sz w:val="22"/>
          <w:szCs w:val="22"/>
        </w:rPr>
        <w:fldChar w:fldCharType="separate"/>
      </w:r>
      <w:r w:rsidRPr="00DF7E39">
        <w:rPr>
          <w:rFonts w:ascii="Palatino Linotype" w:hAnsi="Palatino Linotype"/>
          <w:b/>
          <w:bCs/>
          <w:noProof/>
          <w:sz w:val="22"/>
          <w:szCs w:val="22"/>
        </w:rPr>
        <w:t>2</w:t>
      </w:r>
      <w:r w:rsidRPr="00DF7E39">
        <w:rPr>
          <w:rFonts w:ascii="Palatino Linotype" w:hAnsi="Palatino Linotype"/>
          <w:b/>
          <w:bCs/>
          <w:sz w:val="22"/>
          <w:szCs w:val="22"/>
        </w:rPr>
        <w:fldChar w:fldCharType="end"/>
      </w:r>
      <w:r w:rsidRPr="00DF7E39">
        <w:rPr>
          <w:rFonts w:ascii="Palatino Linotype" w:hAnsi="Palatino Linotype"/>
          <w:b/>
          <w:bCs/>
          <w:sz w:val="22"/>
          <w:szCs w:val="22"/>
        </w:rPr>
        <w:t xml:space="preserve">: </w:t>
      </w:r>
      <w:r w:rsidRPr="00DF7E39">
        <w:rPr>
          <w:rFonts w:ascii="Palatino Linotype" w:hAnsi="Palatino Linotype"/>
          <w:b/>
          <w:sz w:val="22"/>
          <w:szCs w:val="22"/>
        </w:rPr>
        <w:t>Trends in Average Daily Values of Nifty 50 and NSE Equity Cash Segment Turnover</w:t>
      </w:r>
    </w:p>
    <w:p w:rsidR="00E34D03" w:rsidRPr="00E34D03" w:rsidRDefault="002D2DC8" w:rsidP="00DF7E39">
      <w:pPr>
        <w:pStyle w:val="ListParagraph"/>
        <w:ind w:left="360"/>
        <w:jc w:val="both"/>
        <w:rPr>
          <w:rFonts w:ascii="Palatino Linotype" w:eastAsia="Times New Roman" w:hAnsi="Palatino Linotype"/>
          <w:sz w:val="22"/>
          <w:szCs w:val="22"/>
        </w:rPr>
      </w:pPr>
      <w:r>
        <w:rPr>
          <w:noProof/>
          <w:lang w:bidi="hi-IN"/>
        </w:rPr>
        <w:drawing>
          <wp:inline distT="0" distB="0" distL="0" distR="0" wp14:anchorId="75ADEFBE" wp14:editId="3DD531EF">
            <wp:extent cx="5688623" cy="2818507"/>
            <wp:effectExtent l="0" t="0" r="7620" b="12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4D03" w:rsidRPr="00E34D03" w:rsidRDefault="00E34D03" w:rsidP="00DF7E39">
      <w:pPr>
        <w:pStyle w:val="ListParagraph"/>
        <w:ind w:left="360"/>
        <w:jc w:val="both"/>
        <w:rPr>
          <w:rFonts w:ascii="Palatino Linotype" w:eastAsia="Times New Roman" w:hAnsi="Palatino Linotype"/>
          <w:sz w:val="22"/>
          <w:szCs w:val="22"/>
        </w:rPr>
      </w:pPr>
    </w:p>
    <w:p w:rsidR="00E34D03" w:rsidRPr="00E34D03" w:rsidRDefault="00E34D03" w:rsidP="00DF7E39">
      <w:pPr>
        <w:pStyle w:val="ListParagraph"/>
        <w:ind w:left="360"/>
        <w:jc w:val="both"/>
        <w:rPr>
          <w:rFonts w:ascii="Palatino Linotype" w:eastAsia="Times New Roman" w:hAnsi="Palatino Linotype"/>
          <w:sz w:val="22"/>
          <w:szCs w:val="22"/>
        </w:rPr>
      </w:pPr>
    </w:p>
    <w:p w:rsidR="009B6310" w:rsidRPr="003C51EB" w:rsidRDefault="009B6310" w:rsidP="003C51EB">
      <w:pPr>
        <w:pStyle w:val="ListParagraph"/>
        <w:numPr>
          <w:ilvl w:val="0"/>
          <w:numId w:val="5"/>
        </w:numPr>
        <w:jc w:val="both"/>
        <w:rPr>
          <w:rFonts w:ascii="Palatino Linotype" w:eastAsia="Times New Roman" w:hAnsi="Palatino Linotype"/>
          <w:sz w:val="22"/>
          <w:szCs w:val="22"/>
        </w:rPr>
      </w:pPr>
      <w:r w:rsidRPr="00B55791">
        <w:rPr>
          <w:rFonts w:ascii="Palatino Linotype" w:eastAsia="Times New Roman" w:hAnsi="Palatino Linotype"/>
          <w:sz w:val="22"/>
          <w:szCs w:val="22"/>
        </w:rPr>
        <w:t xml:space="preserve">During </w:t>
      </w:r>
      <w:r w:rsidR="003C51EB">
        <w:rPr>
          <w:rFonts w:ascii="Palatino Linotype" w:eastAsia="Times New Roman" w:hAnsi="Palatino Linotype"/>
          <w:sz w:val="22"/>
          <w:szCs w:val="22"/>
        </w:rPr>
        <w:t>September</w:t>
      </w:r>
      <w:r w:rsidRPr="00B55791">
        <w:rPr>
          <w:rFonts w:ascii="Palatino Linotype" w:eastAsia="Times New Roman" w:hAnsi="Palatino Linotype"/>
          <w:sz w:val="22"/>
          <w:szCs w:val="22"/>
        </w:rPr>
        <w:t xml:space="preserve"> 2019, the gross turnover in the equity segment of BSE increased by </w:t>
      </w:r>
      <w:r w:rsidR="003C51EB">
        <w:rPr>
          <w:rFonts w:ascii="Palatino Linotype" w:eastAsia="Times New Roman" w:hAnsi="Palatino Linotype"/>
          <w:sz w:val="22"/>
          <w:szCs w:val="22"/>
        </w:rPr>
        <w:t>3.7</w:t>
      </w:r>
      <w:r w:rsidRPr="00B55791">
        <w:rPr>
          <w:rFonts w:ascii="Palatino Linotype" w:eastAsia="Times New Roman" w:hAnsi="Palatino Linotype"/>
          <w:sz w:val="22"/>
          <w:szCs w:val="22"/>
        </w:rPr>
        <w:t xml:space="preserve"> per</w:t>
      </w:r>
      <w:r w:rsidR="002D09D6">
        <w:rPr>
          <w:rFonts w:ascii="Palatino Linotype" w:eastAsia="Times New Roman" w:hAnsi="Palatino Linotype"/>
          <w:sz w:val="22"/>
          <w:szCs w:val="22"/>
        </w:rPr>
        <w:t xml:space="preserve"> </w:t>
      </w:r>
      <w:r w:rsidRPr="00B55791">
        <w:rPr>
          <w:rFonts w:ascii="Palatino Linotype" w:eastAsia="Times New Roman" w:hAnsi="Palatino Linotype"/>
          <w:sz w:val="22"/>
          <w:szCs w:val="22"/>
        </w:rPr>
        <w:t xml:space="preserve">cent to </w:t>
      </w:r>
      <w:r w:rsidR="006446D3" w:rsidRPr="006446D3">
        <w:rPr>
          <w:rFonts w:ascii="Rupee Foradian" w:eastAsia="Times New Roman" w:hAnsi="Rupee Foradian"/>
          <w:b/>
          <w:szCs w:val="22"/>
        </w:rPr>
        <w:t>`</w:t>
      </w:r>
      <w:r w:rsidR="006E5698">
        <w:rPr>
          <w:rFonts w:ascii="Palatino Linotype" w:eastAsia="Times New Roman" w:hAnsi="Palatino Linotype"/>
          <w:sz w:val="22"/>
          <w:szCs w:val="22"/>
        </w:rPr>
        <w:t xml:space="preserve"> </w:t>
      </w:r>
      <w:r w:rsidR="003C51EB" w:rsidRPr="003C51EB">
        <w:rPr>
          <w:rFonts w:ascii="Palatino Linotype" w:eastAsia="Times New Roman" w:hAnsi="Palatino Linotype"/>
          <w:sz w:val="22"/>
          <w:szCs w:val="22"/>
        </w:rPr>
        <w:t>52,690</w:t>
      </w:r>
      <w:r w:rsidR="006E5698" w:rsidRPr="003C51EB">
        <w:rPr>
          <w:rFonts w:ascii="Palatino Linotype" w:eastAsia="Times New Roman" w:hAnsi="Palatino Linotype"/>
          <w:sz w:val="22"/>
          <w:szCs w:val="22"/>
        </w:rPr>
        <w:t xml:space="preserve"> </w:t>
      </w:r>
      <w:r w:rsidRPr="003C51EB">
        <w:rPr>
          <w:rFonts w:ascii="Palatino Linotype" w:eastAsia="Times New Roman" w:hAnsi="Palatino Linotype"/>
          <w:sz w:val="22"/>
          <w:szCs w:val="22"/>
        </w:rPr>
        <w:t xml:space="preserve">crore from </w:t>
      </w:r>
      <w:r w:rsidR="006446D3" w:rsidRPr="006446D3">
        <w:rPr>
          <w:rFonts w:ascii="Rupee Foradian" w:eastAsia="Times New Roman" w:hAnsi="Rupee Foradian"/>
          <w:b/>
          <w:szCs w:val="22"/>
        </w:rPr>
        <w:t>`</w:t>
      </w:r>
      <w:r w:rsidR="003C51EB" w:rsidRPr="003C51EB">
        <w:rPr>
          <w:rFonts w:ascii="Palatino Linotype" w:eastAsia="Times New Roman" w:hAnsi="Palatino Linotype"/>
          <w:sz w:val="22"/>
          <w:szCs w:val="22"/>
        </w:rPr>
        <w:t xml:space="preserve"> 50,805 </w:t>
      </w:r>
      <w:r w:rsidRPr="003C51EB">
        <w:rPr>
          <w:rFonts w:ascii="Palatino Linotype" w:eastAsia="Times New Roman" w:hAnsi="Palatino Linotype"/>
          <w:sz w:val="22"/>
          <w:szCs w:val="22"/>
        </w:rPr>
        <w:t xml:space="preserve">crore in </w:t>
      </w:r>
      <w:r w:rsidR="003C51EB">
        <w:rPr>
          <w:rFonts w:ascii="Palatino Linotype" w:eastAsia="Times New Roman" w:hAnsi="Palatino Linotype"/>
          <w:sz w:val="22"/>
          <w:szCs w:val="22"/>
        </w:rPr>
        <w:t>August</w:t>
      </w:r>
      <w:r w:rsidRPr="003C51EB">
        <w:rPr>
          <w:rFonts w:ascii="Palatino Linotype" w:eastAsia="Times New Roman" w:hAnsi="Palatino Linotype"/>
          <w:sz w:val="22"/>
          <w:szCs w:val="22"/>
        </w:rPr>
        <w:t xml:space="preserve"> 2019.</w:t>
      </w:r>
    </w:p>
    <w:p w:rsidR="009B6310" w:rsidRPr="006E5698" w:rsidRDefault="009B6310" w:rsidP="003C51EB">
      <w:pPr>
        <w:pStyle w:val="ListParagraph"/>
        <w:numPr>
          <w:ilvl w:val="0"/>
          <w:numId w:val="5"/>
        </w:numPr>
        <w:jc w:val="both"/>
        <w:rPr>
          <w:rFonts w:ascii="Palatino Linotype" w:eastAsia="Times New Roman" w:hAnsi="Palatino Linotype"/>
          <w:sz w:val="22"/>
          <w:szCs w:val="22"/>
        </w:rPr>
      </w:pPr>
      <w:r w:rsidRPr="00B55791">
        <w:rPr>
          <w:rFonts w:ascii="Palatino Linotype" w:eastAsia="Times New Roman" w:hAnsi="Palatino Linotype"/>
          <w:sz w:val="22"/>
          <w:szCs w:val="22"/>
        </w:rPr>
        <w:t xml:space="preserve">During </w:t>
      </w:r>
      <w:r w:rsidR="003C51EB">
        <w:rPr>
          <w:rFonts w:ascii="Palatino Linotype" w:eastAsia="Times New Roman" w:hAnsi="Palatino Linotype"/>
          <w:sz w:val="22"/>
          <w:szCs w:val="22"/>
        </w:rPr>
        <w:t>September</w:t>
      </w:r>
      <w:r w:rsidRPr="00B55791">
        <w:rPr>
          <w:rFonts w:ascii="Palatino Linotype" w:eastAsia="Times New Roman" w:hAnsi="Palatino Linotype"/>
          <w:sz w:val="22"/>
          <w:szCs w:val="22"/>
        </w:rPr>
        <w:t xml:space="preserve"> 2019, the gross turnover in the equity segment of NSE </w:t>
      </w:r>
      <w:r w:rsidR="003C51EB">
        <w:rPr>
          <w:rFonts w:ascii="Palatino Linotype" w:eastAsia="Times New Roman" w:hAnsi="Palatino Linotype"/>
          <w:sz w:val="22"/>
          <w:szCs w:val="22"/>
        </w:rPr>
        <w:t>in</w:t>
      </w:r>
      <w:r w:rsidRPr="00B55791">
        <w:rPr>
          <w:rFonts w:ascii="Palatino Linotype" w:eastAsia="Times New Roman" w:hAnsi="Palatino Linotype"/>
          <w:sz w:val="22"/>
          <w:szCs w:val="22"/>
        </w:rPr>
        <w:t xml:space="preserve">creased by </w:t>
      </w:r>
      <w:r w:rsidR="006E5698" w:rsidRPr="006E5698">
        <w:rPr>
          <w:rFonts w:ascii="Palatino Linotype" w:eastAsia="Times New Roman" w:hAnsi="Palatino Linotype"/>
          <w:sz w:val="22"/>
          <w:szCs w:val="22"/>
        </w:rPr>
        <w:t>5.5</w:t>
      </w:r>
      <w:r w:rsidRPr="00B55791">
        <w:rPr>
          <w:rFonts w:ascii="Palatino Linotype" w:eastAsia="Times New Roman" w:hAnsi="Palatino Linotype"/>
          <w:sz w:val="22"/>
          <w:szCs w:val="22"/>
        </w:rPr>
        <w:t xml:space="preserve"> per</w:t>
      </w:r>
      <w:r w:rsidR="002D09D6">
        <w:rPr>
          <w:rFonts w:ascii="Palatino Linotype" w:eastAsia="Times New Roman" w:hAnsi="Palatino Linotype"/>
          <w:sz w:val="22"/>
          <w:szCs w:val="22"/>
        </w:rPr>
        <w:t xml:space="preserve"> </w:t>
      </w:r>
      <w:r w:rsidRPr="00B55791">
        <w:rPr>
          <w:rFonts w:ascii="Palatino Linotype" w:eastAsia="Times New Roman" w:hAnsi="Palatino Linotype"/>
          <w:sz w:val="22"/>
          <w:szCs w:val="22"/>
        </w:rPr>
        <w:t xml:space="preserve">cent to </w:t>
      </w:r>
      <w:r w:rsidR="006446D3" w:rsidRPr="006446D3">
        <w:rPr>
          <w:rFonts w:ascii="Rupee Foradian" w:eastAsia="Times New Roman" w:hAnsi="Rupee Foradian"/>
          <w:b/>
          <w:szCs w:val="22"/>
        </w:rPr>
        <w:t>`</w:t>
      </w:r>
      <w:r w:rsidRPr="00B55791">
        <w:rPr>
          <w:rFonts w:ascii="Palatino Linotype" w:eastAsia="Times New Roman" w:hAnsi="Palatino Linotype"/>
          <w:sz w:val="22"/>
          <w:szCs w:val="22"/>
        </w:rPr>
        <w:t xml:space="preserve"> </w:t>
      </w:r>
      <w:r w:rsidR="003C51EB" w:rsidRPr="003C51EB">
        <w:rPr>
          <w:rFonts w:ascii="Palatino Linotype" w:eastAsia="Times New Roman" w:hAnsi="Palatino Linotype"/>
          <w:sz w:val="22"/>
          <w:szCs w:val="22"/>
        </w:rPr>
        <w:t>7,10,498</w:t>
      </w:r>
      <w:r w:rsidR="003C51EB">
        <w:rPr>
          <w:rFonts w:ascii="Palatino Linotype" w:eastAsia="Times New Roman" w:hAnsi="Palatino Linotype"/>
          <w:sz w:val="22"/>
          <w:szCs w:val="22"/>
        </w:rPr>
        <w:t xml:space="preserve"> </w:t>
      </w:r>
      <w:r w:rsidRPr="006E5698">
        <w:rPr>
          <w:rFonts w:ascii="Palatino Linotype" w:eastAsia="Times New Roman" w:hAnsi="Palatino Linotype"/>
          <w:sz w:val="22"/>
          <w:szCs w:val="22"/>
        </w:rPr>
        <w:t xml:space="preserve">crore from </w:t>
      </w:r>
      <w:r w:rsidR="006446D3" w:rsidRPr="006446D3">
        <w:rPr>
          <w:rFonts w:ascii="Rupee Foradian" w:eastAsia="Times New Roman" w:hAnsi="Rupee Foradian"/>
          <w:b/>
          <w:szCs w:val="22"/>
        </w:rPr>
        <w:t>`</w:t>
      </w:r>
      <w:r w:rsidRPr="006E5698">
        <w:rPr>
          <w:rFonts w:ascii="Palatino Linotype" w:eastAsia="Times New Roman" w:hAnsi="Palatino Linotype"/>
          <w:sz w:val="22"/>
          <w:szCs w:val="22"/>
        </w:rPr>
        <w:t xml:space="preserve"> </w:t>
      </w:r>
      <w:r w:rsidR="003C51EB" w:rsidRPr="003C51EB">
        <w:rPr>
          <w:rFonts w:ascii="Palatino Linotype" w:eastAsia="Times New Roman" w:hAnsi="Palatino Linotype"/>
          <w:sz w:val="22"/>
          <w:szCs w:val="22"/>
        </w:rPr>
        <w:t>6,73,633</w:t>
      </w:r>
      <w:r w:rsidR="003C51EB">
        <w:rPr>
          <w:rFonts w:ascii="Palatino Linotype" w:eastAsia="Times New Roman" w:hAnsi="Palatino Linotype"/>
          <w:sz w:val="22"/>
          <w:szCs w:val="22"/>
        </w:rPr>
        <w:t xml:space="preserve"> </w:t>
      </w:r>
      <w:r w:rsidR="006E5698" w:rsidRPr="006E5698">
        <w:rPr>
          <w:rFonts w:ascii="Palatino Linotype" w:eastAsia="Times New Roman" w:hAnsi="Palatino Linotype"/>
          <w:sz w:val="22"/>
          <w:szCs w:val="22"/>
        </w:rPr>
        <w:t xml:space="preserve">crore in </w:t>
      </w:r>
      <w:r w:rsidR="003C51EB">
        <w:rPr>
          <w:rFonts w:ascii="Palatino Linotype" w:eastAsia="Times New Roman" w:hAnsi="Palatino Linotype"/>
          <w:sz w:val="22"/>
          <w:szCs w:val="22"/>
        </w:rPr>
        <w:t>August</w:t>
      </w:r>
      <w:r w:rsidRPr="006E5698">
        <w:rPr>
          <w:rFonts w:ascii="Palatino Linotype" w:eastAsia="Times New Roman" w:hAnsi="Palatino Linotype"/>
          <w:sz w:val="22"/>
          <w:szCs w:val="22"/>
        </w:rPr>
        <w:t xml:space="preserve"> 2019.</w:t>
      </w:r>
    </w:p>
    <w:p w:rsidR="009B6310" w:rsidRPr="006E5698" w:rsidRDefault="009B6310" w:rsidP="008E660D">
      <w:pPr>
        <w:pStyle w:val="ListParagraph"/>
        <w:numPr>
          <w:ilvl w:val="0"/>
          <w:numId w:val="5"/>
        </w:numPr>
        <w:jc w:val="both"/>
        <w:rPr>
          <w:rFonts w:ascii="Palatino Linotype" w:eastAsia="Times New Roman" w:hAnsi="Palatino Linotype"/>
          <w:sz w:val="22"/>
          <w:szCs w:val="22"/>
        </w:rPr>
      </w:pPr>
      <w:r w:rsidRPr="006E5698">
        <w:rPr>
          <w:rFonts w:ascii="Palatino Linotype" w:eastAsia="Times New Roman" w:hAnsi="Palatino Linotype"/>
          <w:sz w:val="22"/>
          <w:szCs w:val="22"/>
        </w:rPr>
        <w:t>The P/E ratios of S&amp;P BSE Sensex and Nifty 50 index were 26.</w:t>
      </w:r>
      <w:r w:rsidR="003C51EB">
        <w:rPr>
          <w:rFonts w:ascii="Palatino Linotype" w:eastAsia="Times New Roman" w:hAnsi="Palatino Linotype"/>
          <w:sz w:val="22"/>
          <w:szCs w:val="22"/>
        </w:rPr>
        <w:t>4 and 27</w:t>
      </w:r>
      <w:r w:rsidRPr="006E5698">
        <w:rPr>
          <w:rFonts w:ascii="Palatino Linotype" w:eastAsia="Times New Roman" w:hAnsi="Palatino Linotype"/>
          <w:sz w:val="22"/>
          <w:szCs w:val="22"/>
        </w:rPr>
        <w:t xml:space="preserve"> respectively, at the end of </w:t>
      </w:r>
      <w:r w:rsidR="003C51EB">
        <w:rPr>
          <w:rFonts w:ascii="Palatino Linotype" w:eastAsia="Times New Roman" w:hAnsi="Palatino Linotype"/>
          <w:sz w:val="22"/>
          <w:szCs w:val="22"/>
        </w:rPr>
        <w:t>September</w:t>
      </w:r>
      <w:r w:rsidRPr="006E5698">
        <w:rPr>
          <w:rFonts w:ascii="Palatino Linotype" w:eastAsia="Times New Roman" w:hAnsi="Palatino Linotype"/>
          <w:sz w:val="22"/>
          <w:szCs w:val="22"/>
        </w:rPr>
        <w:t xml:space="preserve"> 2019 compared to the reading of </w:t>
      </w:r>
      <w:r w:rsidR="003C51EB" w:rsidRPr="006E5698">
        <w:rPr>
          <w:rFonts w:ascii="Palatino Linotype" w:eastAsia="Times New Roman" w:hAnsi="Palatino Linotype"/>
          <w:sz w:val="22"/>
          <w:szCs w:val="22"/>
        </w:rPr>
        <w:t xml:space="preserve">26.3 and 27.3 </w:t>
      </w:r>
      <w:r w:rsidRPr="006E5698">
        <w:rPr>
          <w:rFonts w:ascii="Palatino Linotype" w:eastAsia="Times New Roman" w:hAnsi="Palatino Linotype"/>
          <w:sz w:val="22"/>
          <w:szCs w:val="22"/>
        </w:rPr>
        <w:t>respectively a month ago.</w:t>
      </w:r>
    </w:p>
    <w:p w:rsidR="00DF7E39" w:rsidRDefault="00DF7E39" w:rsidP="00DF7E39">
      <w:pPr>
        <w:pStyle w:val="ListParagraph"/>
        <w:ind w:left="360"/>
        <w:rPr>
          <w:rFonts w:ascii="Palatino Linotype" w:hAnsi="Palatino Linotype"/>
          <w:b/>
          <w:bCs/>
          <w:color w:val="000000" w:themeColor="text1"/>
          <w:sz w:val="22"/>
          <w:szCs w:val="22"/>
        </w:rPr>
      </w:pPr>
    </w:p>
    <w:p w:rsidR="00E34D03" w:rsidRPr="00E34D03" w:rsidRDefault="00E34D03" w:rsidP="00DF7E39">
      <w:pPr>
        <w:pStyle w:val="ListParagraph"/>
        <w:spacing w:line="240" w:lineRule="auto"/>
        <w:ind w:left="0"/>
        <w:jc w:val="center"/>
        <w:rPr>
          <w:rFonts w:ascii="Palatino Linotype" w:hAnsi="Palatino Linotype"/>
          <w:b/>
          <w:bCs/>
          <w:color w:val="000000" w:themeColor="text1"/>
          <w:sz w:val="22"/>
          <w:szCs w:val="22"/>
        </w:rPr>
      </w:pPr>
      <w:r w:rsidRPr="00E34D03">
        <w:rPr>
          <w:rFonts w:ascii="Palatino Linotype" w:hAnsi="Palatino Linotype"/>
          <w:b/>
          <w:bCs/>
          <w:color w:val="000000" w:themeColor="text1"/>
          <w:sz w:val="22"/>
          <w:szCs w:val="22"/>
        </w:rPr>
        <w:t xml:space="preserve">Figure </w:t>
      </w:r>
      <w:r w:rsidRPr="00E34D03">
        <w:rPr>
          <w:rFonts w:ascii="Palatino Linotype" w:hAnsi="Palatino Linotype"/>
          <w:b/>
          <w:bCs/>
          <w:color w:val="000000" w:themeColor="text1"/>
          <w:sz w:val="22"/>
          <w:szCs w:val="22"/>
        </w:rPr>
        <w:fldChar w:fldCharType="begin"/>
      </w:r>
      <w:r w:rsidRPr="00E34D03">
        <w:rPr>
          <w:rFonts w:ascii="Palatino Linotype" w:hAnsi="Palatino Linotype"/>
          <w:b/>
          <w:bCs/>
          <w:color w:val="000000" w:themeColor="text1"/>
          <w:sz w:val="22"/>
          <w:szCs w:val="22"/>
        </w:rPr>
        <w:instrText xml:space="preserve"> SEQ Figure \* ARABIC </w:instrText>
      </w:r>
      <w:r w:rsidRPr="00E34D03">
        <w:rPr>
          <w:rFonts w:ascii="Palatino Linotype" w:hAnsi="Palatino Linotype"/>
          <w:b/>
          <w:bCs/>
          <w:color w:val="000000" w:themeColor="text1"/>
          <w:sz w:val="22"/>
          <w:szCs w:val="22"/>
        </w:rPr>
        <w:fldChar w:fldCharType="separate"/>
      </w:r>
      <w:r w:rsidRPr="00E34D03">
        <w:rPr>
          <w:rFonts w:ascii="Palatino Linotype" w:hAnsi="Palatino Linotype"/>
          <w:b/>
          <w:bCs/>
          <w:noProof/>
          <w:color w:val="000000" w:themeColor="text1"/>
          <w:sz w:val="22"/>
          <w:szCs w:val="22"/>
        </w:rPr>
        <w:t>3</w:t>
      </w:r>
      <w:r w:rsidRPr="00E34D03">
        <w:rPr>
          <w:rFonts w:ascii="Palatino Linotype" w:hAnsi="Palatino Linotype"/>
          <w:b/>
          <w:bCs/>
          <w:color w:val="000000" w:themeColor="text1"/>
          <w:sz w:val="22"/>
          <w:szCs w:val="22"/>
        </w:rPr>
        <w:fldChar w:fldCharType="end"/>
      </w:r>
      <w:r w:rsidRPr="00E34D03">
        <w:rPr>
          <w:rFonts w:ascii="Palatino Linotype" w:hAnsi="Palatino Linotype"/>
          <w:b/>
          <w:bCs/>
          <w:color w:val="000000" w:themeColor="text1"/>
          <w:sz w:val="22"/>
          <w:szCs w:val="22"/>
        </w:rPr>
        <w:t>: Trends in Average Daily Values of Sensex and BSE Equity Cash Segment Turnover</w:t>
      </w:r>
    </w:p>
    <w:p w:rsidR="00E34D03" w:rsidRPr="00191B9C" w:rsidRDefault="002D2DC8" w:rsidP="00E34D03">
      <w:pPr>
        <w:jc w:val="both"/>
        <w:rPr>
          <w:rFonts w:ascii="Palatino Linotype" w:eastAsia="Times New Roman" w:hAnsi="Palatino Linotype"/>
          <w:sz w:val="22"/>
          <w:szCs w:val="22"/>
        </w:rPr>
      </w:pPr>
      <w:r>
        <w:rPr>
          <w:noProof/>
          <w:lang w:val="en-US" w:bidi="hi-IN"/>
        </w:rPr>
        <w:drawing>
          <wp:inline distT="0" distB="0" distL="0" distR="0" wp14:anchorId="43803515" wp14:editId="7F89DF06">
            <wp:extent cx="5732154" cy="2917398"/>
            <wp:effectExtent l="0" t="0" r="1905" b="165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5791" w:rsidRDefault="00B55791" w:rsidP="0032036A">
      <w:pPr>
        <w:jc w:val="both"/>
        <w:rPr>
          <w:rFonts w:ascii="Palatino Linotype" w:eastAsia="Times New Roman" w:hAnsi="Palatino Linotype"/>
          <w:sz w:val="22"/>
          <w:szCs w:val="22"/>
        </w:rPr>
      </w:pPr>
    </w:p>
    <w:p w:rsidR="000E1FA1" w:rsidRPr="000E1FA1" w:rsidRDefault="006E5698" w:rsidP="000E1FA1">
      <w:pPr>
        <w:pStyle w:val="ListParagraph"/>
        <w:numPr>
          <w:ilvl w:val="0"/>
          <w:numId w:val="6"/>
        </w:numPr>
        <w:jc w:val="both"/>
        <w:rPr>
          <w:rFonts w:ascii="Palatino Linotype" w:hAnsi="Palatino Linotype"/>
          <w:b/>
          <w:bCs/>
          <w:sz w:val="22"/>
          <w:szCs w:val="22"/>
          <w:highlight w:val="yellow"/>
        </w:rPr>
      </w:pPr>
      <w:r w:rsidRPr="006446D3">
        <w:rPr>
          <w:rFonts w:ascii="Palatino Linotype" w:eastAsia="Times New Roman" w:hAnsi="Palatino Linotype"/>
          <w:bCs/>
          <w:sz w:val="22"/>
          <w:szCs w:val="22"/>
        </w:rPr>
        <w:t>During the month of</w:t>
      </w:r>
      <w:r w:rsidR="009B6310" w:rsidRPr="006446D3">
        <w:rPr>
          <w:rFonts w:ascii="Palatino Linotype" w:eastAsia="Times New Roman" w:hAnsi="Palatino Linotype"/>
          <w:bCs/>
          <w:sz w:val="22"/>
          <w:szCs w:val="22"/>
        </w:rPr>
        <w:t xml:space="preserve"> </w:t>
      </w:r>
      <w:r w:rsidR="000E1FA1" w:rsidRPr="006446D3">
        <w:rPr>
          <w:rFonts w:ascii="Palatino Linotype" w:eastAsia="Times New Roman" w:hAnsi="Palatino Linotype"/>
          <w:bCs/>
          <w:sz w:val="22"/>
          <w:szCs w:val="22"/>
        </w:rPr>
        <w:t>September</w:t>
      </w:r>
      <w:r w:rsidR="0032036A" w:rsidRPr="006446D3">
        <w:rPr>
          <w:rFonts w:ascii="Palatino Linotype" w:eastAsia="Times New Roman" w:hAnsi="Palatino Linotype"/>
          <w:bCs/>
          <w:sz w:val="22"/>
          <w:szCs w:val="22"/>
        </w:rPr>
        <w:t xml:space="preserve"> 2019, </w:t>
      </w:r>
      <w:r w:rsidR="000E1FA1" w:rsidRPr="006446D3">
        <w:rPr>
          <w:rFonts w:ascii="Palatino Linotype" w:eastAsia="Times New Roman" w:hAnsi="Palatino Linotype"/>
          <w:bCs/>
          <w:sz w:val="22"/>
          <w:szCs w:val="22"/>
        </w:rPr>
        <w:t>most of the</w:t>
      </w:r>
      <w:r w:rsidR="0032036A" w:rsidRPr="006446D3">
        <w:rPr>
          <w:rFonts w:ascii="Palatino Linotype" w:eastAsia="Times New Roman" w:hAnsi="Palatino Linotype"/>
          <w:bCs/>
          <w:sz w:val="22"/>
          <w:szCs w:val="22"/>
        </w:rPr>
        <w:t xml:space="preserve"> sectoral indices </w:t>
      </w:r>
      <w:r w:rsidRPr="006446D3">
        <w:rPr>
          <w:rFonts w:ascii="Palatino Linotype" w:eastAsia="Times New Roman" w:hAnsi="Palatino Linotype"/>
          <w:bCs/>
          <w:sz w:val="22"/>
          <w:szCs w:val="22"/>
        </w:rPr>
        <w:t xml:space="preserve">witnessed </w:t>
      </w:r>
      <w:r w:rsidR="000E1FA1" w:rsidRPr="006446D3">
        <w:rPr>
          <w:rFonts w:ascii="Palatino Linotype" w:eastAsia="Times New Roman" w:hAnsi="Palatino Linotype"/>
          <w:bCs/>
          <w:sz w:val="22"/>
          <w:szCs w:val="22"/>
        </w:rPr>
        <w:t>upward</w:t>
      </w:r>
      <w:r w:rsidRPr="006446D3">
        <w:rPr>
          <w:rFonts w:ascii="Palatino Linotype" w:eastAsia="Times New Roman" w:hAnsi="Palatino Linotype"/>
          <w:bCs/>
          <w:sz w:val="22"/>
          <w:szCs w:val="22"/>
        </w:rPr>
        <w:t xml:space="preserve"> trends</w:t>
      </w:r>
      <w:r w:rsidR="000E1FA1" w:rsidRPr="006446D3">
        <w:rPr>
          <w:rFonts w:ascii="Palatino Linotype" w:eastAsia="Times New Roman" w:hAnsi="Palatino Linotype"/>
          <w:bCs/>
          <w:sz w:val="22"/>
          <w:szCs w:val="22"/>
        </w:rPr>
        <w:t xml:space="preserve"> after</w:t>
      </w:r>
      <w:r w:rsidR="000E1FA1">
        <w:rPr>
          <w:rFonts w:ascii="Palatino Linotype" w:eastAsia="Times New Roman" w:hAnsi="Palatino Linotype"/>
          <w:bCs/>
          <w:sz w:val="22"/>
          <w:szCs w:val="22"/>
        </w:rPr>
        <w:t xml:space="preserve"> </w:t>
      </w:r>
      <w:r w:rsidR="000E1FA1" w:rsidRPr="00326A7E">
        <w:rPr>
          <w:rFonts w:ascii="Palatino Linotype" w:eastAsia="Times New Roman" w:hAnsi="Palatino Linotype"/>
          <w:sz w:val="22"/>
          <w:szCs w:val="22"/>
        </w:rPr>
        <w:t>Finance minister slashed corporate tax rate to 25</w:t>
      </w:r>
      <w:r w:rsidR="000E1FA1">
        <w:rPr>
          <w:rFonts w:ascii="Palatino Linotype" w:eastAsia="Times New Roman" w:hAnsi="Palatino Linotype"/>
          <w:sz w:val="22"/>
          <w:szCs w:val="22"/>
        </w:rPr>
        <w:t>.2</w:t>
      </w:r>
      <w:r w:rsidR="000E1FA1" w:rsidRPr="00326A7E">
        <w:rPr>
          <w:rFonts w:ascii="Palatino Linotype" w:eastAsia="Times New Roman" w:hAnsi="Palatino Linotype"/>
          <w:sz w:val="22"/>
          <w:szCs w:val="22"/>
        </w:rPr>
        <w:t xml:space="preserve"> per</w:t>
      </w:r>
      <w:r w:rsidR="000E1FA1">
        <w:rPr>
          <w:rFonts w:ascii="Palatino Linotype" w:eastAsia="Times New Roman" w:hAnsi="Palatino Linotype"/>
          <w:sz w:val="22"/>
          <w:szCs w:val="22"/>
        </w:rPr>
        <w:t xml:space="preserve"> </w:t>
      </w:r>
      <w:r w:rsidR="000E1FA1" w:rsidRPr="00326A7E">
        <w:rPr>
          <w:rFonts w:ascii="Palatino Linotype" w:eastAsia="Times New Roman" w:hAnsi="Palatino Linotype"/>
          <w:sz w:val="22"/>
          <w:szCs w:val="22"/>
        </w:rPr>
        <w:t xml:space="preserve">cent from </w:t>
      </w:r>
      <w:r w:rsidR="000E1FA1">
        <w:rPr>
          <w:rFonts w:ascii="Palatino Linotype" w:eastAsia="Times New Roman" w:hAnsi="Palatino Linotype"/>
          <w:sz w:val="22"/>
          <w:szCs w:val="22"/>
        </w:rPr>
        <w:t>34.9</w:t>
      </w:r>
      <w:r w:rsidR="000E1FA1" w:rsidRPr="00326A7E">
        <w:rPr>
          <w:rFonts w:ascii="Palatino Linotype" w:eastAsia="Times New Roman" w:hAnsi="Palatino Linotype"/>
          <w:sz w:val="22"/>
          <w:szCs w:val="22"/>
        </w:rPr>
        <w:t xml:space="preserve"> per</w:t>
      </w:r>
      <w:r w:rsidR="000E1FA1">
        <w:rPr>
          <w:rFonts w:ascii="Palatino Linotype" w:eastAsia="Times New Roman" w:hAnsi="Palatino Linotype"/>
          <w:sz w:val="22"/>
          <w:szCs w:val="22"/>
        </w:rPr>
        <w:t xml:space="preserve"> </w:t>
      </w:r>
      <w:r w:rsidR="000E1FA1" w:rsidRPr="00326A7E">
        <w:rPr>
          <w:rFonts w:ascii="Palatino Linotype" w:eastAsia="Times New Roman" w:hAnsi="Palatino Linotype"/>
          <w:sz w:val="22"/>
          <w:szCs w:val="22"/>
        </w:rPr>
        <w:t>cent</w:t>
      </w:r>
      <w:r w:rsidR="000E1FA1">
        <w:rPr>
          <w:rFonts w:ascii="Palatino Linotype" w:eastAsia="Times New Roman" w:hAnsi="Palatino Linotype"/>
          <w:sz w:val="22"/>
          <w:szCs w:val="22"/>
        </w:rPr>
        <w:t>.</w:t>
      </w:r>
      <w:r w:rsidR="0032036A" w:rsidRPr="004028D9">
        <w:rPr>
          <w:rFonts w:ascii="Palatino Linotype" w:eastAsia="Times New Roman" w:hAnsi="Palatino Linotype"/>
          <w:bCs/>
          <w:sz w:val="22"/>
          <w:szCs w:val="22"/>
        </w:rPr>
        <w:t xml:space="preserve"> Among BSE indices, </w:t>
      </w:r>
      <w:r w:rsidR="00D62DC1" w:rsidRPr="004028D9">
        <w:rPr>
          <w:rFonts w:ascii="Palatino Linotype" w:eastAsia="Times New Roman" w:hAnsi="Palatino Linotype"/>
          <w:color w:val="000000"/>
          <w:sz w:val="22"/>
          <w:szCs w:val="22"/>
        </w:rPr>
        <w:t>S&amp;P BSE Consumer Durables</w:t>
      </w:r>
      <w:r>
        <w:rPr>
          <w:rFonts w:ascii="Palatino Linotype" w:eastAsia="Times New Roman" w:hAnsi="Palatino Linotype"/>
          <w:bCs/>
          <w:sz w:val="22"/>
          <w:szCs w:val="22"/>
        </w:rPr>
        <w:t xml:space="preserve"> in</w:t>
      </w:r>
      <w:r w:rsidR="0032036A" w:rsidRPr="004028D9">
        <w:rPr>
          <w:rFonts w:ascii="Palatino Linotype" w:eastAsia="Times New Roman" w:hAnsi="Palatino Linotype"/>
          <w:bCs/>
          <w:sz w:val="22"/>
          <w:szCs w:val="22"/>
        </w:rPr>
        <w:t xml:space="preserve">creased by </w:t>
      </w:r>
      <w:r w:rsidR="000E1FA1">
        <w:rPr>
          <w:rFonts w:ascii="Palatino Linotype" w:eastAsia="Times New Roman" w:hAnsi="Palatino Linotype"/>
          <w:bCs/>
          <w:sz w:val="22"/>
          <w:szCs w:val="22"/>
        </w:rPr>
        <w:t>10.5</w:t>
      </w:r>
      <w:r w:rsidR="0032036A" w:rsidRPr="004028D9">
        <w:rPr>
          <w:rFonts w:ascii="Palatino Linotype" w:eastAsia="Times New Roman" w:hAnsi="Palatino Linotype"/>
          <w:bCs/>
          <w:sz w:val="22"/>
          <w:szCs w:val="22"/>
        </w:rPr>
        <w:t xml:space="preserve"> </w:t>
      </w:r>
      <w:r w:rsidR="00B6405A">
        <w:rPr>
          <w:rFonts w:ascii="Palatino Linotype" w:eastAsia="Times New Roman" w:hAnsi="Palatino Linotype"/>
          <w:bCs/>
          <w:sz w:val="22"/>
          <w:szCs w:val="22"/>
        </w:rPr>
        <w:t>per cent</w:t>
      </w:r>
      <w:r w:rsidR="0032036A" w:rsidRPr="004028D9">
        <w:rPr>
          <w:rFonts w:ascii="Palatino Linotype" w:eastAsia="Times New Roman" w:hAnsi="Palatino Linotype"/>
          <w:bCs/>
          <w:sz w:val="22"/>
          <w:szCs w:val="22"/>
        </w:rPr>
        <w:t>, followed by</w:t>
      </w:r>
      <w:r w:rsidR="000E1FA1">
        <w:rPr>
          <w:rFonts w:ascii="Palatino Linotype" w:eastAsia="Times New Roman" w:hAnsi="Palatino Linotype"/>
          <w:bCs/>
          <w:sz w:val="22"/>
          <w:szCs w:val="22"/>
        </w:rPr>
        <w:t xml:space="preserve"> </w:t>
      </w:r>
      <w:r w:rsidR="000E1FA1" w:rsidRPr="006E5698">
        <w:rPr>
          <w:rFonts w:ascii="Palatino Linotype" w:eastAsia="Times New Roman" w:hAnsi="Palatino Linotype"/>
          <w:bCs/>
          <w:sz w:val="22"/>
          <w:szCs w:val="22"/>
        </w:rPr>
        <w:t xml:space="preserve">S&amp;P BSE </w:t>
      </w:r>
      <w:r w:rsidR="000E1FA1">
        <w:rPr>
          <w:rFonts w:ascii="Palatino Linotype" w:eastAsia="Times New Roman" w:hAnsi="Palatino Linotype"/>
          <w:bCs/>
          <w:sz w:val="22"/>
          <w:szCs w:val="22"/>
        </w:rPr>
        <w:t xml:space="preserve">Capital Goods </w:t>
      </w:r>
      <w:r w:rsidR="000E1FA1" w:rsidRPr="004028D9">
        <w:rPr>
          <w:rFonts w:ascii="Palatino Linotype" w:eastAsia="Times New Roman" w:hAnsi="Palatino Linotype"/>
          <w:color w:val="000000"/>
          <w:sz w:val="22"/>
          <w:szCs w:val="22"/>
        </w:rPr>
        <w:t>(</w:t>
      </w:r>
      <w:r w:rsidR="000E1FA1">
        <w:rPr>
          <w:rFonts w:ascii="Palatino Linotype" w:eastAsia="Times New Roman" w:hAnsi="Palatino Linotype"/>
          <w:color w:val="000000"/>
          <w:sz w:val="22"/>
          <w:szCs w:val="22"/>
        </w:rPr>
        <w:t>10.4</w:t>
      </w:r>
      <w:r w:rsidR="000E1FA1" w:rsidRPr="004028D9">
        <w:rPr>
          <w:rFonts w:ascii="Palatino Linotype" w:eastAsia="Times New Roman" w:hAnsi="Palatino Linotype"/>
          <w:color w:val="000000"/>
          <w:sz w:val="22"/>
          <w:szCs w:val="22"/>
        </w:rPr>
        <w:t xml:space="preserve"> per cent)</w:t>
      </w:r>
      <w:r w:rsidR="000E1FA1">
        <w:rPr>
          <w:rFonts w:ascii="Palatino Linotype" w:eastAsia="Times New Roman" w:hAnsi="Palatino Linotype"/>
          <w:color w:val="000000"/>
          <w:sz w:val="22"/>
          <w:szCs w:val="22"/>
        </w:rPr>
        <w:t>,</w:t>
      </w:r>
      <w:r w:rsidR="0032036A" w:rsidRPr="004028D9">
        <w:rPr>
          <w:rFonts w:ascii="Palatino Linotype" w:eastAsia="Times New Roman" w:hAnsi="Palatino Linotype"/>
          <w:bCs/>
          <w:sz w:val="22"/>
          <w:szCs w:val="22"/>
        </w:rPr>
        <w:t xml:space="preserve"> </w:t>
      </w:r>
      <w:r w:rsidR="00D62DC1" w:rsidRPr="004028D9">
        <w:rPr>
          <w:rFonts w:ascii="Palatino Linotype" w:eastAsia="Times New Roman" w:hAnsi="Palatino Linotype"/>
          <w:color w:val="000000"/>
          <w:sz w:val="22"/>
          <w:szCs w:val="22"/>
        </w:rPr>
        <w:t xml:space="preserve">S&amp;P BSE </w:t>
      </w:r>
      <w:r w:rsidR="000E1FA1">
        <w:rPr>
          <w:rFonts w:ascii="Palatino Linotype" w:eastAsia="Times New Roman" w:hAnsi="Palatino Linotype"/>
          <w:color w:val="000000"/>
          <w:sz w:val="22"/>
          <w:szCs w:val="22"/>
        </w:rPr>
        <w:t>Metal</w:t>
      </w:r>
      <w:r w:rsidR="0032036A" w:rsidRPr="004028D9">
        <w:rPr>
          <w:rFonts w:ascii="Palatino Linotype" w:eastAsia="Times New Roman" w:hAnsi="Palatino Linotype"/>
          <w:bCs/>
          <w:sz w:val="22"/>
          <w:szCs w:val="22"/>
        </w:rPr>
        <w:t xml:space="preserve"> (</w:t>
      </w:r>
      <w:r w:rsidR="000E1FA1">
        <w:rPr>
          <w:rFonts w:ascii="Palatino Linotype" w:eastAsia="Times New Roman" w:hAnsi="Palatino Linotype"/>
          <w:bCs/>
          <w:sz w:val="22"/>
          <w:szCs w:val="22"/>
        </w:rPr>
        <w:t>6.6</w:t>
      </w:r>
      <w:r w:rsidR="0032036A" w:rsidRPr="004028D9">
        <w:rPr>
          <w:rFonts w:ascii="Palatino Linotype" w:eastAsia="Times New Roman" w:hAnsi="Palatino Linotype"/>
          <w:bCs/>
          <w:sz w:val="22"/>
          <w:szCs w:val="22"/>
        </w:rPr>
        <w:t xml:space="preserve"> per cent)</w:t>
      </w:r>
      <w:r w:rsidR="00D62DC1" w:rsidRPr="004028D9">
        <w:rPr>
          <w:rFonts w:ascii="Palatino Linotype" w:eastAsia="Times New Roman" w:hAnsi="Palatino Linotype"/>
          <w:bCs/>
          <w:sz w:val="22"/>
          <w:szCs w:val="22"/>
        </w:rPr>
        <w:t xml:space="preserve">, </w:t>
      </w:r>
      <w:r w:rsidR="000E1FA1" w:rsidRPr="004028D9">
        <w:rPr>
          <w:rFonts w:ascii="Palatino Linotype" w:eastAsia="Times New Roman" w:hAnsi="Palatino Linotype"/>
          <w:color w:val="000000"/>
          <w:sz w:val="22"/>
          <w:szCs w:val="22"/>
        </w:rPr>
        <w:t xml:space="preserve">S&amp;P BSE </w:t>
      </w:r>
      <w:r w:rsidR="000E1FA1">
        <w:rPr>
          <w:rFonts w:ascii="Palatino Linotype" w:eastAsia="Times New Roman" w:hAnsi="Palatino Linotype"/>
          <w:color w:val="000000"/>
          <w:sz w:val="22"/>
          <w:szCs w:val="22"/>
        </w:rPr>
        <w:t>Bankex</w:t>
      </w:r>
      <w:r w:rsidR="000E1FA1" w:rsidRPr="004028D9">
        <w:rPr>
          <w:rFonts w:ascii="Palatino Linotype" w:eastAsia="Times New Roman" w:hAnsi="Palatino Linotype"/>
          <w:color w:val="000000"/>
          <w:sz w:val="22"/>
          <w:szCs w:val="22"/>
        </w:rPr>
        <w:t xml:space="preserve"> (</w:t>
      </w:r>
      <w:r w:rsidR="000E1FA1">
        <w:rPr>
          <w:rFonts w:ascii="Palatino Linotype" w:eastAsia="Times New Roman" w:hAnsi="Palatino Linotype"/>
          <w:color w:val="000000"/>
          <w:sz w:val="22"/>
          <w:szCs w:val="22"/>
        </w:rPr>
        <w:t>6.3</w:t>
      </w:r>
      <w:r w:rsidR="000E1FA1" w:rsidRPr="004028D9">
        <w:rPr>
          <w:rFonts w:ascii="Palatino Linotype" w:eastAsia="Times New Roman" w:hAnsi="Palatino Linotype"/>
          <w:color w:val="000000"/>
          <w:sz w:val="22"/>
          <w:szCs w:val="22"/>
        </w:rPr>
        <w:t xml:space="preserve"> per cent)</w:t>
      </w:r>
      <w:r w:rsidR="000E1FA1">
        <w:rPr>
          <w:rFonts w:ascii="Palatino Linotype" w:eastAsia="Times New Roman" w:hAnsi="Palatino Linotype"/>
          <w:color w:val="000000"/>
          <w:sz w:val="22"/>
          <w:szCs w:val="22"/>
        </w:rPr>
        <w:t xml:space="preserve">, </w:t>
      </w:r>
      <w:r w:rsidR="00D62DC1" w:rsidRPr="004028D9">
        <w:rPr>
          <w:rFonts w:ascii="Palatino Linotype" w:eastAsia="Times New Roman" w:hAnsi="Palatino Linotype"/>
          <w:color w:val="000000"/>
          <w:sz w:val="22"/>
          <w:szCs w:val="22"/>
        </w:rPr>
        <w:t xml:space="preserve">S&amp;P BSE </w:t>
      </w:r>
      <w:r>
        <w:rPr>
          <w:rFonts w:ascii="Palatino Linotype" w:eastAsia="Times New Roman" w:hAnsi="Palatino Linotype"/>
          <w:color w:val="000000"/>
          <w:sz w:val="22"/>
          <w:szCs w:val="22"/>
        </w:rPr>
        <w:t>FMCG</w:t>
      </w:r>
      <w:r w:rsidR="00D62DC1" w:rsidRPr="004028D9">
        <w:rPr>
          <w:rFonts w:ascii="Palatino Linotype" w:eastAsia="Times New Roman" w:hAnsi="Palatino Linotype"/>
          <w:color w:val="000000"/>
          <w:sz w:val="22"/>
          <w:szCs w:val="22"/>
        </w:rPr>
        <w:t xml:space="preserve"> (</w:t>
      </w:r>
      <w:r w:rsidR="000E1FA1">
        <w:rPr>
          <w:rFonts w:ascii="Palatino Linotype" w:eastAsia="Times New Roman" w:hAnsi="Palatino Linotype"/>
          <w:color w:val="000000"/>
          <w:sz w:val="22"/>
          <w:szCs w:val="22"/>
        </w:rPr>
        <w:t>6.2</w:t>
      </w:r>
      <w:r w:rsidR="00D62DC1" w:rsidRPr="004028D9">
        <w:rPr>
          <w:rFonts w:ascii="Palatino Linotype" w:eastAsia="Times New Roman" w:hAnsi="Palatino Linotype"/>
          <w:color w:val="000000"/>
          <w:sz w:val="22"/>
          <w:szCs w:val="22"/>
        </w:rPr>
        <w:t xml:space="preserve"> per cent)</w:t>
      </w:r>
      <w:r w:rsidR="000E1FA1">
        <w:rPr>
          <w:rFonts w:ascii="Palatino Linotype" w:eastAsia="Times New Roman" w:hAnsi="Palatino Linotype"/>
          <w:color w:val="000000"/>
          <w:sz w:val="22"/>
          <w:szCs w:val="22"/>
        </w:rPr>
        <w:t xml:space="preserve">, </w:t>
      </w:r>
      <w:r w:rsidR="000E1FA1" w:rsidRPr="004028D9">
        <w:rPr>
          <w:rFonts w:ascii="Palatino Linotype" w:eastAsia="Times New Roman" w:hAnsi="Palatino Linotype"/>
          <w:color w:val="000000"/>
          <w:sz w:val="22"/>
          <w:szCs w:val="22"/>
        </w:rPr>
        <w:t xml:space="preserve">S&amp;P BSE </w:t>
      </w:r>
      <w:r w:rsidR="000E1FA1">
        <w:rPr>
          <w:rFonts w:ascii="Palatino Linotype" w:eastAsia="Times New Roman" w:hAnsi="Palatino Linotype"/>
          <w:color w:val="000000"/>
          <w:sz w:val="22"/>
          <w:szCs w:val="22"/>
        </w:rPr>
        <w:t>Small Cap</w:t>
      </w:r>
      <w:r w:rsidR="000E1FA1" w:rsidRPr="004028D9">
        <w:rPr>
          <w:rFonts w:ascii="Palatino Linotype" w:eastAsia="Times New Roman" w:hAnsi="Palatino Linotype"/>
          <w:color w:val="000000"/>
          <w:sz w:val="22"/>
          <w:szCs w:val="22"/>
        </w:rPr>
        <w:t xml:space="preserve"> (</w:t>
      </w:r>
      <w:r w:rsidR="000E1FA1">
        <w:rPr>
          <w:rFonts w:ascii="Palatino Linotype" w:eastAsia="Times New Roman" w:hAnsi="Palatino Linotype"/>
          <w:color w:val="000000"/>
          <w:sz w:val="22"/>
          <w:szCs w:val="22"/>
        </w:rPr>
        <w:t>5.1</w:t>
      </w:r>
      <w:r w:rsidR="000E1FA1" w:rsidRPr="004028D9">
        <w:rPr>
          <w:rFonts w:ascii="Palatino Linotype" w:eastAsia="Times New Roman" w:hAnsi="Palatino Linotype"/>
          <w:color w:val="000000"/>
          <w:sz w:val="22"/>
          <w:szCs w:val="22"/>
        </w:rPr>
        <w:t xml:space="preserve"> per cent)</w:t>
      </w:r>
      <w:r w:rsidR="000E1FA1">
        <w:rPr>
          <w:rFonts w:ascii="Palatino Linotype" w:eastAsia="Times New Roman" w:hAnsi="Palatino Linotype"/>
          <w:color w:val="000000"/>
          <w:sz w:val="22"/>
          <w:szCs w:val="22"/>
        </w:rPr>
        <w:t xml:space="preserve"> and </w:t>
      </w:r>
      <w:r w:rsidR="000E1FA1" w:rsidRPr="004028D9">
        <w:rPr>
          <w:rFonts w:ascii="Palatino Linotype" w:eastAsia="Times New Roman" w:hAnsi="Palatino Linotype"/>
          <w:color w:val="000000"/>
          <w:sz w:val="22"/>
          <w:szCs w:val="22"/>
        </w:rPr>
        <w:t xml:space="preserve">S&amp;P BSE </w:t>
      </w:r>
      <w:r w:rsidR="000E1FA1">
        <w:rPr>
          <w:rFonts w:ascii="Palatino Linotype" w:eastAsia="Times New Roman" w:hAnsi="Palatino Linotype"/>
          <w:color w:val="000000"/>
          <w:sz w:val="22"/>
          <w:szCs w:val="22"/>
        </w:rPr>
        <w:t>PSU</w:t>
      </w:r>
      <w:r w:rsidR="000E1FA1" w:rsidRPr="004028D9">
        <w:rPr>
          <w:rFonts w:ascii="Palatino Linotype" w:eastAsia="Times New Roman" w:hAnsi="Palatino Linotype"/>
          <w:color w:val="000000"/>
          <w:sz w:val="22"/>
          <w:szCs w:val="22"/>
        </w:rPr>
        <w:t xml:space="preserve"> (</w:t>
      </w:r>
      <w:r w:rsidR="000E1FA1">
        <w:rPr>
          <w:rFonts w:ascii="Palatino Linotype" w:eastAsia="Times New Roman" w:hAnsi="Palatino Linotype"/>
          <w:color w:val="000000"/>
          <w:sz w:val="22"/>
          <w:szCs w:val="22"/>
        </w:rPr>
        <w:t>4.1</w:t>
      </w:r>
      <w:r w:rsidR="000E1FA1" w:rsidRPr="004028D9">
        <w:rPr>
          <w:rFonts w:ascii="Palatino Linotype" w:eastAsia="Times New Roman" w:hAnsi="Palatino Linotype"/>
          <w:color w:val="000000"/>
          <w:sz w:val="22"/>
          <w:szCs w:val="22"/>
        </w:rPr>
        <w:t xml:space="preserve"> per cent)</w:t>
      </w:r>
      <w:r>
        <w:rPr>
          <w:rFonts w:ascii="Palatino Linotype" w:eastAsia="Times New Roman" w:hAnsi="Palatino Linotype"/>
          <w:color w:val="000000"/>
          <w:sz w:val="22"/>
          <w:szCs w:val="22"/>
        </w:rPr>
        <w:t xml:space="preserve">. </w:t>
      </w:r>
      <w:r>
        <w:rPr>
          <w:rFonts w:ascii="Palatino Linotype" w:eastAsia="Times New Roman" w:hAnsi="Palatino Linotype"/>
          <w:bCs/>
          <w:sz w:val="22"/>
          <w:szCs w:val="22"/>
        </w:rPr>
        <w:t xml:space="preserve">On the other hand, </w:t>
      </w:r>
      <w:r w:rsidR="000E1FA1" w:rsidRPr="004028D9">
        <w:rPr>
          <w:rFonts w:ascii="Palatino Linotype" w:eastAsia="Times New Roman" w:hAnsi="Palatino Linotype"/>
          <w:color w:val="000000"/>
          <w:sz w:val="22"/>
          <w:szCs w:val="22"/>
        </w:rPr>
        <w:t xml:space="preserve">S&amp;P BSE </w:t>
      </w:r>
      <w:r w:rsidR="000E1FA1">
        <w:rPr>
          <w:rFonts w:ascii="Palatino Linotype" w:eastAsia="Times New Roman" w:hAnsi="Palatino Linotype"/>
          <w:color w:val="000000"/>
          <w:sz w:val="22"/>
          <w:szCs w:val="22"/>
        </w:rPr>
        <w:t>Healthcare</w:t>
      </w:r>
      <w:r w:rsidRPr="006E5698">
        <w:rPr>
          <w:rFonts w:ascii="Palatino Linotype" w:eastAsia="Times New Roman" w:hAnsi="Palatino Linotype"/>
          <w:bCs/>
          <w:sz w:val="22"/>
          <w:szCs w:val="22"/>
        </w:rPr>
        <w:t xml:space="preserve"> </w:t>
      </w:r>
      <w:r w:rsidR="000E1FA1">
        <w:rPr>
          <w:rFonts w:ascii="Palatino Linotype" w:eastAsia="Times New Roman" w:hAnsi="Palatino Linotype"/>
          <w:bCs/>
          <w:sz w:val="22"/>
          <w:szCs w:val="22"/>
        </w:rPr>
        <w:t xml:space="preserve">and </w:t>
      </w:r>
      <w:r w:rsidR="000E1FA1" w:rsidRPr="004028D9">
        <w:rPr>
          <w:rFonts w:ascii="Palatino Linotype" w:eastAsia="Times New Roman" w:hAnsi="Palatino Linotype"/>
          <w:color w:val="000000"/>
          <w:sz w:val="22"/>
          <w:szCs w:val="22"/>
        </w:rPr>
        <w:t xml:space="preserve">S&amp;P BSE </w:t>
      </w:r>
      <w:r w:rsidR="000E1FA1">
        <w:rPr>
          <w:rFonts w:ascii="Palatino Linotype" w:eastAsia="Times New Roman" w:hAnsi="Palatino Linotype"/>
          <w:color w:val="000000"/>
          <w:sz w:val="22"/>
          <w:szCs w:val="22"/>
        </w:rPr>
        <w:t xml:space="preserve">Teck </w:t>
      </w:r>
      <w:r>
        <w:rPr>
          <w:rFonts w:ascii="Palatino Linotype" w:eastAsia="Times New Roman" w:hAnsi="Palatino Linotype"/>
          <w:bCs/>
          <w:sz w:val="22"/>
          <w:szCs w:val="22"/>
        </w:rPr>
        <w:t>de</w:t>
      </w:r>
      <w:r w:rsidRPr="006E5698">
        <w:rPr>
          <w:rFonts w:ascii="Palatino Linotype" w:eastAsia="Times New Roman" w:hAnsi="Palatino Linotype"/>
          <w:bCs/>
          <w:sz w:val="22"/>
          <w:szCs w:val="22"/>
        </w:rPr>
        <w:t xml:space="preserve">creased by </w:t>
      </w:r>
      <w:r w:rsidR="000E1FA1">
        <w:rPr>
          <w:rFonts w:ascii="Palatino Linotype" w:eastAsia="Times New Roman" w:hAnsi="Palatino Linotype"/>
          <w:bCs/>
          <w:sz w:val="22"/>
          <w:szCs w:val="22"/>
        </w:rPr>
        <w:t>3</w:t>
      </w:r>
      <w:r w:rsidRPr="006E5698">
        <w:rPr>
          <w:rFonts w:ascii="Palatino Linotype" w:eastAsia="Times New Roman" w:hAnsi="Palatino Linotype"/>
          <w:bCs/>
          <w:sz w:val="22"/>
          <w:szCs w:val="22"/>
        </w:rPr>
        <w:t xml:space="preserve"> per cent</w:t>
      </w:r>
      <w:r w:rsidR="000E1FA1">
        <w:rPr>
          <w:rFonts w:ascii="Palatino Linotype" w:eastAsia="Times New Roman" w:hAnsi="Palatino Linotype"/>
          <w:bCs/>
          <w:sz w:val="22"/>
          <w:szCs w:val="22"/>
        </w:rPr>
        <w:t xml:space="preserve"> and 2.5 per cent respectively during the period.</w:t>
      </w:r>
      <w:r w:rsidR="002E627C">
        <w:rPr>
          <w:rFonts w:ascii="Palatino Linotype" w:eastAsia="Times New Roman" w:hAnsi="Palatino Linotype"/>
          <w:bCs/>
          <w:sz w:val="22"/>
          <w:szCs w:val="22"/>
        </w:rPr>
        <w:t xml:space="preserve"> The average daily volatility for the month of September 2019 is given in Figure 4.</w:t>
      </w:r>
    </w:p>
    <w:p w:rsidR="00E41BE8" w:rsidRDefault="00E41BE8" w:rsidP="00E41BE8">
      <w:pPr>
        <w:pStyle w:val="ListParagraph"/>
        <w:ind w:left="360"/>
        <w:jc w:val="both"/>
        <w:rPr>
          <w:rFonts w:ascii="Palatino Linotype" w:hAnsi="Palatino Linotype"/>
          <w:b/>
          <w:bCs/>
          <w:sz w:val="22"/>
          <w:szCs w:val="22"/>
        </w:rPr>
      </w:pPr>
    </w:p>
    <w:p w:rsidR="00E34D03" w:rsidRPr="00DF7E39" w:rsidRDefault="000E1FA1" w:rsidP="00E41BE8">
      <w:pPr>
        <w:pStyle w:val="ListParagraph"/>
        <w:ind w:left="360"/>
        <w:jc w:val="both"/>
        <w:rPr>
          <w:rFonts w:ascii="Palatino Linotype" w:hAnsi="Palatino Linotype"/>
          <w:b/>
          <w:bCs/>
          <w:sz w:val="22"/>
          <w:szCs w:val="22"/>
          <w:highlight w:val="yellow"/>
        </w:rPr>
      </w:pPr>
      <w:r w:rsidRPr="00DF7E39">
        <w:rPr>
          <w:rFonts w:ascii="Palatino Linotype" w:hAnsi="Palatino Linotype"/>
          <w:b/>
          <w:bCs/>
          <w:sz w:val="22"/>
          <w:szCs w:val="22"/>
        </w:rPr>
        <w:t xml:space="preserve"> </w:t>
      </w:r>
      <w:r w:rsidR="00E34D03" w:rsidRPr="00DF7E39">
        <w:rPr>
          <w:rFonts w:ascii="Palatino Linotype" w:hAnsi="Palatino Linotype"/>
          <w:b/>
          <w:bCs/>
          <w:sz w:val="22"/>
          <w:szCs w:val="22"/>
        </w:rPr>
        <w:t xml:space="preserve">Figure 4: Performance of BSE Indices during </w:t>
      </w:r>
      <w:r w:rsidR="00227721">
        <w:rPr>
          <w:rFonts w:ascii="Palatino Linotype" w:hAnsi="Palatino Linotype"/>
          <w:b/>
          <w:bCs/>
          <w:sz w:val="22"/>
          <w:szCs w:val="22"/>
        </w:rPr>
        <w:t>September</w:t>
      </w:r>
      <w:r w:rsidR="00E34D03" w:rsidRPr="00DF7E39">
        <w:rPr>
          <w:rFonts w:ascii="Palatino Linotype" w:hAnsi="Palatino Linotype"/>
          <w:b/>
          <w:bCs/>
          <w:sz w:val="22"/>
          <w:szCs w:val="22"/>
        </w:rPr>
        <w:t xml:space="preserve"> 2019</w:t>
      </w:r>
    </w:p>
    <w:p w:rsidR="00191B9C" w:rsidRDefault="00227721" w:rsidP="00191B9C">
      <w:pPr>
        <w:jc w:val="both"/>
        <w:rPr>
          <w:rFonts w:ascii="Palatino Linotype" w:eastAsia="Times New Roman" w:hAnsi="Palatino Linotype"/>
          <w:bCs/>
          <w:sz w:val="22"/>
          <w:szCs w:val="22"/>
        </w:rPr>
      </w:pPr>
      <w:r>
        <w:rPr>
          <w:noProof/>
          <w:lang w:val="en-US" w:bidi="hi-IN"/>
        </w:rPr>
        <w:lastRenderedPageBreak/>
        <w:drawing>
          <wp:inline distT="0" distB="0" distL="0" distR="0" wp14:anchorId="1CFD322B" wp14:editId="27BF9FF0">
            <wp:extent cx="5372103" cy="2441864"/>
            <wp:effectExtent l="0" t="0" r="0" b="158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7E39" w:rsidRPr="00191B9C" w:rsidRDefault="00DF7E39" w:rsidP="00191B9C">
      <w:pPr>
        <w:jc w:val="both"/>
        <w:rPr>
          <w:rFonts w:ascii="Palatino Linotype" w:eastAsia="Times New Roman" w:hAnsi="Palatino Linotype"/>
          <w:bCs/>
          <w:sz w:val="22"/>
          <w:szCs w:val="22"/>
        </w:rPr>
      </w:pPr>
    </w:p>
    <w:p w:rsidR="002E627C" w:rsidRPr="000E1FA1" w:rsidRDefault="00D62DC1" w:rsidP="002E627C">
      <w:pPr>
        <w:pStyle w:val="ListParagraph"/>
        <w:numPr>
          <w:ilvl w:val="0"/>
          <w:numId w:val="6"/>
        </w:numPr>
        <w:jc w:val="both"/>
        <w:rPr>
          <w:rFonts w:ascii="Palatino Linotype" w:hAnsi="Palatino Linotype"/>
          <w:b/>
          <w:bCs/>
          <w:sz w:val="22"/>
          <w:szCs w:val="22"/>
          <w:highlight w:val="yellow"/>
        </w:rPr>
      </w:pPr>
      <w:r w:rsidRPr="004028D9">
        <w:rPr>
          <w:rFonts w:ascii="Palatino Linotype" w:eastAsia="Times New Roman" w:hAnsi="Palatino Linotype"/>
          <w:bCs/>
          <w:color w:val="000000" w:themeColor="text1"/>
          <w:sz w:val="22"/>
          <w:szCs w:val="22"/>
        </w:rPr>
        <w:t xml:space="preserve">Among select NSE sectoral indices, </w:t>
      </w:r>
      <w:r w:rsidRPr="004028D9">
        <w:rPr>
          <w:rFonts w:ascii="Palatino Linotype" w:eastAsia="Times New Roman" w:hAnsi="Palatino Linotype"/>
          <w:color w:val="000000"/>
          <w:sz w:val="22"/>
          <w:szCs w:val="22"/>
        </w:rPr>
        <w:t xml:space="preserve">Nifty </w:t>
      </w:r>
      <w:r w:rsidR="00E41BE8">
        <w:rPr>
          <w:rFonts w:ascii="Palatino Linotype" w:eastAsia="Times New Roman" w:hAnsi="Palatino Linotype"/>
          <w:color w:val="000000"/>
          <w:sz w:val="22"/>
          <w:szCs w:val="22"/>
        </w:rPr>
        <w:t>MNC</w:t>
      </w:r>
      <w:r w:rsidRPr="004028D9">
        <w:rPr>
          <w:rFonts w:ascii="Palatino Linotype" w:eastAsia="Times New Roman" w:hAnsi="Palatino Linotype"/>
          <w:bCs/>
          <w:color w:val="000000" w:themeColor="text1"/>
          <w:sz w:val="22"/>
          <w:szCs w:val="22"/>
        </w:rPr>
        <w:t xml:space="preserve"> </w:t>
      </w:r>
      <w:r w:rsidR="00EA169B">
        <w:rPr>
          <w:rFonts w:ascii="Palatino Linotype" w:eastAsia="Times New Roman" w:hAnsi="Palatino Linotype"/>
          <w:bCs/>
          <w:color w:val="000000" w:themeColor="text1"/>
          <w:sz w:val="22"/>
          <w:szCs w:val="22"/>
        </w:rPr>
        <w:t>increas</w:t>
      </w:r>
      <w:r w:rsidRPr="004028D9">
        <w:rPr>
          <w:rFonts w:ascii="Palatino Linotype" w:eastAsia="Times New Roman" w:hAnsi="Palatino Linotype"/>
          <w:bCs/>
          <w:color w:val="000000" w:themeColor="text1"/>
          <w:sz w:val="22"/>
          <w:szCs w:val="22"/>
        </w:rPr>
        <w:t xml:space="preserve">ed by </w:t>
      </w:r>
      <w:r w:rsidR="00E41BE8">
        <w:rPr>
          <w:rFonts w:ascii="Palatino Linotype" w:eastAsia="Times New Roman" w:hAnsi="Palatino Linotype"/>
          <w:bCs/>
          <w:color w:val="000000" w:themeColor="text1"/>
          <w:sz w:val="22"/>
          <w:szCs w:val="22"/>
        </w:rPr>
        <w:t>9</w:t>
      </w:r>
      <w:r w:rsidRPr="004028D9">
        <w:rPr>
          <w:rFonts w:ascii="Palatino Linotype" w:eastAsia="Times New Roman" w:hAnsi="Palatino Linotype"/>
          <w:bCs/>
          <w:color w:val="000000" w:themeColor="text1"/>
          <w:sz w:val="22"/>
          <w:szCs w:val="22"/>
        </w:rPr>
        <w:t xml:space="preserve"> </w:t>
      </w:r>
      <w:r w:rsidR="00B6405A">
        <w:rPr>
          <w:rFonts w:ascii="Palatino Linotype" w:eastAsia="Times New Roman" w:hAnsi="Palatino Linotype"/>
          <w:bCs/>
          <w:color w:val="000000" w:themeColor="text1"/>
          <w:sz w:val="22"/>
          <w:szCs w:val="22"/>
        </w:rPr>
        <w:t>per cent</w:t>
      </w:r>
      <w:r w:rsidRPr="004028D9">
        <w:rPr>
          <w:rFonts w:ascii="Palatino Linotype" w:eastAsia="Times New Roman" w:hAnsi="Palatino Linotype"/>
          <w:bCs/>
          <w:color w:val="000000" w:themeColor="text1"/>
          <w:sz w:val="22"/>
          <w:szCs w:val="22"/>
        </w:rPr>
        <w:t xml:space="preserve"> during </w:t>
      </w:r>
      <w:r w:rsidR="00E41BE8">
        <w:rPr>
          <w:rFonts w:ascii="Palatino Linotype" w:eastAsia="Times New Roman" w:hAnsi="Palatino Linotype"/>
          <w:bCs/>
          <w:color w:val="000000" w:themeColor="text1"/>
          <w:sz w:val="22"/>
          <w:szCs w:val="22"/>
        </w:rPr>
        <w:t>September</w:t>
      </w:r>
      <w:r w:rsidRPr="004028D9">
        <w:rPr>
          <w:rFonts w:ascii="Palatino Linotype" w:eastAsia="Times New Roman" w:hAnsi="Palatino Linotype"/>
          <w:bCs/>
          <w:color w:val="000000" w:themeColor="text1"/>
          <w:sz w:val="22"/>
          <w:szCs w:val="22"/>
        </w:rPr>
        <w:t xml:space="preserve"> 2019, followed by Nifty </w:t>
      </w:r>
      <w:r w:rsidR="00E41BE8">
        <w:rPr>
          <w:rFonts w:ascii="Palatino Linotype" w:eastAsia="Times New Roman" w:hAnsi="Palatino Linotype"/>
          <w:bCs/>
          <w:color w:val="000000" w:themeColor="text1"/>
          <w:sz w:val="22"/>
          <w:szCs w:val="22"/>
        </w:rPr>
        <w:t>FMCG</w:t>
      </w:r>
      <w:r w:rsidRPr="004028D9">
        <w:rPr>
          <w:rFonts w:ascii="Palatino Linotype" w:eastAsia="Times New Roman" w:hAnsi="Palatino Linotype"/>
          <w:bCs/>
          <w:color w:val="000000" w:themeColor="text1"/>
          <w:sz w:val="22"/>
          <w:szCs w:val="22"/>
        </w:rPr>
        <w:t xml:space="preserve"> (</w:t>
      </w:r>
      <w:r w:rsidR="00E41BE8">
        <w:rPr>
          <w:rFonts w:ascii="Palatino Linotype" w:eastAsia="Times New Roman" w:hAnsi="Palatino Linotype"/>
          <w:bCs/>
          <w:color w:val="000000" w:themeColor="text1"/>
          <w:sz w:val="22"/>
          <w:szCs w:val="22"/>
        </w:rPr>
        <w:t>6.4</w:t>
      </w:r>
      <w:r w:rsidRPr="004028D9">
        <w:rPr>
          <w:rFonts w:ascii="Palatino Linotype" w:eastAsia="Times New Roman" w:hAnsi="Palatino Linotype"/>
          <w:bCs/>
          <w:color w:val="000000" w:themeColor="text1"/>
          <w:sz w:val="22"/>
          <w:szCs w:val="22"/>
        </w:rPr>
        <w:t xml:space="preserve"> per cent), </w:t>
      </w:r>
      <w:r w:rsidRPr="004028D9">
        <w:rPr>
          <w:rFonts w:ascii="Palatino Linotype" w:eastAsia="Times New Roman" w:hAnsi="Palatino Linotype"/>
          <w:color w:val="000000"/>
          <w:sz w:val="22"/>
          <w:szCs w:val="22"/>
        </w:rPr>
        <w:t xml:space="preserve">Nifty </w:t>
      </w:r>
      <w:r w:rsidR="00E41BE8">
        <w:rPr>
          <w:rFonts w:ascii="Palatino Linotype" w:eastAsia="Times New Roman" w:hAnsi="Palatino Linotype"/>
          <w:color w:val="000000"/>
          <w:sz w:val="22"/>
          <w:szCs w:val="22"/>
        </w:rPr>
        <w:t>Bank</w:t>
      </w:r>
      <w:r w:rsidRPr="004028D9">
        <w:rPr>
          <w:rFonts w:ascii="Palatino Linotype" w:eastAsia="Times New Roman" w:hAnsi="Palatino Linotype"/>
          <w:color w:val="000000"/>
          <w:sz w:val="22"/>
          <w:szCs w:val="22"/>
        </w:rPr>
        <w:t xml:space="preserve"> (</w:t>
      </w:r>
      <w:r w:rsidR="00E41BE8">
        <w:rPr>
          <w:rFonts w:ascii="Palatino Linotype" w:eastAsia="Times New Roman" w:hAnsi="Palatino Linotype"/>
          <w:color w:val="000000"/>
          <w:sz w:val="22"/>
          <w:szCs w:val="22"/>
        </w:rPr>
        <w:t>6.1</w:t>
      </w:r>
      <w:r w:rsidRPr="004028D9">
        <w:rPr>
          <w:rFonts w:ascii="Palatino Linotype" w:eastAsia="Times New Roman" w:hAnsi="Palatino Linotype"/>
          <w:color w:val="000000"/>
          <w:sz w:val="22"/>
          <w:szCs w:val="22"/>
        </w:rPr>
        <w:t xml:space="preserve"> per cent), Nifty </w:t>
      </w:r>
      <w:r w:rsidR="00E41BE8">
        <w:rPr>
          <w:rFonts w:ascii="Palatino Linotype" w:eastAsia="Times New Roman" w:hAnsi="Palatino Linotype"/>
          <w:color w:val="000000"/>
          <w:sz w:val="22"/>
          <w:szCs w:val="22"/>
        </w:rPr>
        <w:t>Next 50</w:t>
      </w:r>
      <w:r w:rsidRPr="004028D9">
        <w:rPr>
          <w:rFonts w:ascii="Palatino Linotype" w:eastAsia="Times New Roman" w:hAnsi="Palatino Linotype"/>
          <w:color w:val="000000"/>
          <w:sz w:val="22"/>
          <w:szCs w:val="22"/>
        </w:rPr>
        <w:t xml:space="preserve"> (</w:t>
      </w:r>
      <w:r w:rsidR="00E41BE8">
        <w:rPr>
          <w:rFonts w:ascii="Palatino Linotype" w:eastAsia="Times New Roman" w:hAnsi="Palatino Linotype"/>
          <w:color w:val="000000"/>
          <w:sz w:val="22"/>
          <w:szCs w:val="22"/>
        </w:rPr>
        <w:t>4.2</w:t>
      </w:r>
      <w:r w:rsidR="00EA169B">
        <w:rPr>
          <w:rFonts w:ascii="Palatino Linotype" w:eastAsia="Times New Roman" w:hAnsi="Palatino Linotype"/>
          <w:color w:val="000000"/>
          <w:sz w:val="22"/>
          <w:szCs w:val="22"/>
        </w:rPr>
        <w:t xml:space="preserve"> per cent)</w:t>
      </w:r>
      <w:r w:rsidR="00E41BE8">
        <w:rPr>
          <w:rFonts w:ascii="Palatino Linotype" w:eastAsia="Times New Roman" w:hAnsi="Palatino Linotype"/>
          <w:color w:val="000000"/>
          <w:sz w:val="22"/>
          <w:szCs w:val="22"/>
        </w:rPr>
        <w:t>, Nifty 100 (4.1 per cent), Nifty 500 (4.1 per cent), Nifty 200 (3.9 per cent)</w:t>
      </w:r>
      <w:r w:rsidRPr="004028D9">
        <w:rPr>
          <w:rFonts w:ascii="Palatino Linotype" w:eastAsia="Times New Roman" w:hAnsi="Palatino Linotype"/>
          <w:bCs/>
          <w:color w:val="000000" w:themeColor="text1"/>
          <w:sz w:val="22"/>
          <w:szCs w:val="22"/>
        </w:rPr>
        <w:t xml:space="preserve"> and Nifty </w:t>
      </w:r>
      <w:r w:rsidR="00E41BE8">
        <w:rPr>
          <w:rFonts w:ascii="Palatino Linotype" w:eastAsia="Times New Roman" w:hAnsi="Palatino Linotype"/>
          <w:bCs/>
          <w:color w:val="000000" w:themeColor="text1"/>
          <w:sz w:val="22"/>
          <w:szCs w:val="22"/>
        </w:rPr>
        <w:t>Midcap 50</w:t>
      </w:r>
      <w:r w:rsidRPr="004028D9">
        <w:rPr>
          <w:rFonts w:ascii="Palatino Linotype" w:eastAsia="Times New Roman" w:hAnsi="Palatino Linotype"/>
          <w:bCs/>
          <w:color w:val="000000" w:themeColor="text1"/>
          <w:sz w:val="22"/>
          <w:szCs w:val="22"/>
        </w:rPr>
        <w:t xml:space="preserve"> (</w:t>
      </w:r>
      <w:r w:rsidR="00E41BE8">
        <w:rPr>
          <w:rFonts w:ascii="Palatino Linotype" w:eastAsia="Times New Roman" w:hAnsi="Palatino Linotype"/>
          <w:bCs/>
          <w:color w:val="000000" w:themeColor="text1"/>
          <w:sz w:val="22"/>
          <w:szCs w:val="22"/>
        </w:rPr>
        <w:t>3.1</w:t>
      </w:r>
      <w:r w:rsidRPr="004028D9">
        <w:rPr>
          <w:rFonts w:ascii="Palatino Linotype" w:eastAsia="Times New Roman" w:hAnsi="Palatino Linotype"/>
          <w:bCs/>
          <w:color w:val="000000" w:themeColor="text1"/>
          <w:sz w:val="22"/>
          <w:szCs w:val="22"/>
        </w:rPr>
        <w:t xml:space="preserve"> per cent).</w:t>
      </w:r>
      <w:r w:rsidR="00EA169B">
        <w:rPr>
          <w:rFonts w:ascii="Palatino Linotype" w:eastAsia="Times New Roman" w:hAnsi="Palatino Linotype"/>
          <w:bCs/>
          <w:color w:val="000000" w:themeColor="text1"/>
          <w:sz w:val="22"/>
          <w:szCs w:val="22"/>
        </w:rPr>
        <w:t xml:space="preserve"> On the other hand, </w:t>
      </w:r>
      <w:r w:rsidR="00EA169B" w:rsidRPr="004028D9">
        <w:rPr>
          <w:rFonts w:ascii="Palatino Linotype" w:eastAsia="Times New Roman" w:hAnsi="Palatino Linotype"/>
          <w:color w:val="000000"/>
          <w:sz w:val="22"/>
          <w:szCs w:val="22"/>
        </w:rPr>
        <w:t xml:space="preserve">Nifty PSU </w:t>
      </w:r>
      <w:r w:rsidR="00EA169B">
        <w:rPr>
          <w:rFonts w:ascii="Palatino Linotype" w:eastAsia="Times New Roman" w:hAnsi="Palatino Linotype"/>
          <w:color w:val="000000"/>
          <w:sz w:val="22"/>
          <w:szCs w:val="22"/>
        </w:rPr>
        <w:t>Bank</w:t>
      </w:r>
      <w:r w:rsidR="00EA169B" w:rsidRPr="004028D9">
        <w:rPr>
          <w:rFonts w:ascii="Palatino Linotype" w:eastAsia="Times New Roman" w:hAnsi="Palatino Linotype"/>
          <w:bCs/>
          <w:color w:val="000000" w:themeColor="text1"/>
          <w:sz w:val="22"/>
          <w:szCs w:val="22"/>
        </w:rPr>
        <w:t xml:space="preserve"> </w:t>
      </w:r>
      <w:r w:rsidR="00EA169B">
        <w:rPr>
          <w:rFonts w:ascii="Palatino Linotype" w:eastAsia="Times New Roman" w:hAnsi="Palatino Linotype"/>
          <w:bCs/>
          <w:color w:val="000000" w:themeColor="text1"/>
          <w:sz w:val="22"/>
          <w:szCs w:val="22"/>
        </w:rPr>
        <w:t>decreas</w:t>
      </w:r>
      <w:r w:rsidR="00EA169B" w:rsidRPr="004028D9">
        <w:rPr>
          <w:rFonts w:ascii="Palatino Linotype" w:eastAsia="Times New Roman" w:hAnsi="Palatino Linotype"/>
          <w:bCs/>
          <w:color w:val="000000" w:themeColor="text1"/>
          <w:sz w:val="22"/>
          <w:szCs w:val="22"/>
        </w:rPr>
        <w:t xml:space="preserve">ed by </w:t>
      </w:r>
      <w:r w:rsidR="00E41BE8">
        <w:rPr>
          <w:rFonts w:ascii="Palatino Linotype" w:eastAsia="Times New Roman" w:hAnsi="Palatino Linotype"/>
          <w:bCs/>
          <w:color w:val="000000" w:themeColor="text1"/>
          <w:sz w:val="22"/>
          <w:szCs w:val="22"/>
        </w:rPr>
        <w:t>7.3</w:t>
      </w:r>
      <w:r w:rsidR="00EA169B" w:rsidRPr="004028D9">
        <w:rPr>
          <w:rFonts w:ascii="Palatino Linotype" w:eastAsia="Times New Roman" w:hAnsi="Palatino Linotype"/>
          <w:bCs/>
          <w:color w:val="000000" w:themeColor="text1"/>
          <w:sz w:val="22"/>
          <w:szCs w:val="22"/>
        </w:rPr>
        <w:t xml:space="preserve"> </w:t>
      </w:r>
      <w:r w:rsidR="00EA169B">
        <w:rPr>
          <w:rFonts w:ascii="Palatino Linotype" w:eastAsia="Times New Roman" w:hAnsi="Palatino Linotype"/>
          <w:bCs/>
          <w:color w:val="000000" w:themeColor="text1"/>
          <w:sz w:val="22"/>
          <w:szCs w:val="22"/>
        </w:rPr>
        <w:t>per cent</w:t>
      </w:r>
      <w:r w:rsidR="00EA169B" w:rsidRPr="004028D9">
        <w:rPr>
          <w:rFonts w:ascii="Palatino Linotype" w:eastAsia="Times New Roman" w:hAnsi="Palatino Linotype"/>
          <w:bCs/>
          <w:color w:val="000000" w:themeColor="text1"/>
          <w:sz w:val="22"/>
          <w:szCs w:val="22"/>
        </w:rPr>
        <w:t xml:space="preserve"> followed by Nifty </w:t>
      </w:r>
      <w:r w:rsidR="00E41BE8">
        <w:rPr>
          <w:rFonts w:ascii="Palatino Linotype" w:eastAsia="Times New Roman" w:hAnsi="Palatino Linotype"/>
          <w:bCs/>
          <w:color w:val="000000" w:themeColor="text1"/>
          <w:sz w:val="22"/>
          <w:szCs w:val="22"/>
        </w:rPr>
        <w:t>Pharma</w:t>
      </w:r>
      <w:r w:rsidR="00EA169B" w:rsidRPr="004028D9">
        <w:rPr>
          <w:rFonts w:ascii="Palatino Linotype" w:eastAsia="Times New Roman" w:hAnsi="Palatino Linotype"/>
          <w:bCs/>
          <w:color w:val="000000" w:themeColor="text1"/>
          <w:sz w:val="22"/>
          <w:szCs w:val="22"/>
        </w:rPr>
        <w:t xml:space="preserve"> (</w:t>
      </w:r>
      <w:r w:rsidR="00E41BE8">
        <w:rPr>
          <w:rFonts w:ascii="Palatino Linotype" w:eastAsia="Times New Roman" w:hAnsi="Palatino Linotype"/>
          <w:bCs/>
          <w:color w:val="000000" w:themeColor="text1"/>
          <w:sz w:val="22"/>
          <w:szCs w:val="22"/>
        </w:rPr>
        <w:t>6.</w:t>
      </w:r>
      <w:r w:rsidR="00EA169B">
        <w:rPr>
          <w:rFonts w:ascii="Palatino Linotype" w:eastAsia="Times New Roman" w:hAnsi="Palatino Linotype"/>
          <w:bCs/>
          <w:color w:val="000000" w:themeColor="text1"/>
          <w:sz w:val="22"/>
          <w:szCs w:val="22"/>
        </w:rPr>
        <w:t>5</w:t>
      </w:r>
      <w:r w:rsidR="00EA169B" w:rsidRPr="004028D9">
        <w:rPr>
          <w:rFonts w:ascii="Palatino Linotype" w:eastAsia="Times New Roman" w:hAnsi="Palatino Linotype"/>
          <w:bCs/>
          <w:color w:val="000000" w:themeColor="text1"/>
          <w:sz w:val="22"/>
          <w:szCs w:val="22"/>
        </w:rPr>
        <w:t xml:space="preserve"> per cent), </w:t>
      </w:r>
      <w:r w:rsidR="00EA169B" w:rsidRPr="004028D9">
        <w:rPr>
          <w:rFonts w:ascii="Palatino Linotype" w:eastAsia="Times New Roman" w:hAnsi="Palatino Linotype"/>
          <w:color w:val="000000"/>
          <w:sz w:val="22"/>
          <w:szCs w:val="22"/>
        </w:rPr>
        <w:t xml:space="preserve">Nifty </w:t>
      </w:r>
      <w:r w:rsidR="00EA169B">
        <w:rPr>
          <w:rFonts w:ascii="Palatino Linotype" w:eastAsia="Times New Roman" w:hAnsi="Palatino Linotype"/>
          <w:color w:val="000000"/>
          <w:sz w:val="22"/>
          <w:szCs w:val="22"/>
        </w:rPr>
        <w:t>Media</w:t>
      </w:r>
      <w:r w:rsidR="00EA169B" w:rsidRPr="004028D9">
        <w:rPr>
          <w:rFonts w:ascii="Palatino Linotype" w:eastAsia="Times New Roman" w:hAnsi="Palatino Linotype"/>
          <w:color w:val="000000"/>
          <w:sz w:val="22"/>
          <w:szCs w:val="22"/>
        </w:rPr>
        <w:t xml:space="preserve"> (</w:t>
      </w:r>
      <w:r w:rsidR="00E41BE8">
        <w:rPr>
          <w:rFonts w:ascii="Palatino Linotype" w:eastAsia="Times New Roman" w:hAnsi="Palatino Linotype"/>
          <w:color w:val="000000"/>
          <w:sz w:val="22"/>
          <w:szCs w:val="22"/>
        </w:rPr>
        <w:t>6</w:t>
      </w:r>
      <w:r w:rsidR="00EA169B" w:rsidRPr="004028D9">
        <w:rPr>
          <w:rFonts w:ascii="Palatino Linotype" w:eastAsia="Times New Roman" w:hAnsi="Palatino Linotype"/>
          <w:color w:val="000000"/>
          <w:sz w:val="22"/>
          <w:szCs w:val="22"/>
        </w:rPr>
        <w:t xml:space="preserve"> per cent)</w:t>
      </w:r>
      <w:r w:rsidR="00E41BE8">
        <w:rPr>
          <w:rFonts w:ascii="Palatino Linotype" w:eastAsia="Times New Roman" w:hAnsi="Palatino Linotype"/>
          <w:color w:val="000000"/>
          <w:sz w:val="22"/>
          <w:szCs w:val="22"/>
        </w:rPr>
        <w:t xml:space="preserve"> and</w:t>
      </w:r>
      <w:r w:rsidR="00EA169B" w:rsidRPr="004028D9">
        <w:rPr>
          <w:rFonts w:ascii="Palatino Linotype" w:eastAsia="Times New Roman" w:hAnsi="Palatino Linotype"/>
          <w:color w:val="000000"/>
          <w:sz w:val="22"/>
          <w:szCs w:val="22"/>
        </w:rPr>
        <w:t xml:space="preserve"> Nifty </w:t>
      </w:r>
      <w:r w:rsidR="00E41BE8">
        <w:rPr>
          <w:rFonts w:ascii="Palatino Linotype" w:eastAsia="Times New Roman" w:hAnsi="Palatino Linotype"/>
          <w:color w:val="000000"/>
          <w:sz w:val="22"/>
          <w:szCs w:val="22"/>
        </w:rPr>
        <w:t>IT</w:t>
      </w:r>
      <w:r w:rsidR="00EA169B" w:rsidRPr="004028D9">
        <w:rPr>
          <w:rFonts w:ascii="Palatino Linotype" w:eastAsia="Times New Roman" w:hAnsi="Palatino Linotype"/>
          <w:color w:val="000000"/>
          <w:sz w:val="22"/>
          <w:szCs w:val="22"/>
        </w:rPr>
        <w:t xml:space="preserve"> (</w:t>
      </w:r>
      <w:r w:rsidR="00EA169B">
        <w:rPr>
          <w:rFonts w:ascii="Palatino Linotype" w:eastAsia="Times New Roman" w:hAnsi="Palatino Linotype"/>
          <w:color w:val="000000"/>
          <w:sz w:val="22"/>
          <w:szCs w:val="22"/>
        </w:rPr>
        <w:t>2.</w:t>
      </w:r>
      <w:r w:rsidR="00E41BE8">
        <w:rPr>
          <w:rFonts w:ascii="Palatino Linotype" w:eastAsia="Times New Roman" w:hAnsi="Palatino Linotype"/>
          <w:color w:val="000000"/>
          <w:sz w:val="22"/>
          <w:szCs w:val="22"/>
        </w:rPr>
        <w:t>9</w:t>
      </w:r>
      <w:r w:rsidR="00EA169B">
        <w:rPr>
          <w:rFonts w:ascii="Palatino Linotype" w:eastAsia="Times New Roman" w:hAnsi="Palatino Linotype"/>
          <w:color w:val="000000"/>
          <w:sz w:val="22"/>
          <w:szCs w:val="22"/>
        </w:rPr>
        <w:t xml:space="preserve"> per cent)</w:t>
      </w:r>
      <w:r w:rsidR="00E41BE8">
        <w:rPr>
          <w:rFonts w:ascii="Palatino Linotype" w:eastAsia="Times New Roman" w:hAnsi="Palatino Linotype"/>
          <w:color w:val="000000"/>
          <w:sz w:val="22"/>
          <w:szCs w:val="22"/>
        </w:rPr>
        <w:t xml:space="preserve">. </w:t>
      </w:r>
      <w:r w:rsidR="002E627C">
        <w:rPr>
          <w:rFonts w:ascii="Palatino Linotype" w:eastAsia="Times New Roman" w:hAnsi="Palatino Linotype"/>
          <w:bCs/>
          <w:sz w:val="22"/>
          <w:szCs w:val="22"/>
        </w:rPr>
        <w:t>The average daily volatility for the month of September 2019 is given in Figure 4.</w:t>
      </w:r>
    </w:p>
    <w:p w:rsidR="00DF7E39" w:rsidRDefault="00DF7E39" w:rsidP="002E627C">
      <w:pPr>
        <w:pStyle w:val="ListParagraph"/>
        <w:ind w:left="360"/>
        <w:jc w:val="both"/>
        <w:rPr>
          <w:rFonts w:ascii="Palatino Linotype" w:eastAsia="Times New Roman" w:hAnsi="Palatino Linotype"/>
          <w:color w:val="000000"/>
          <w:sz w:val="22"/>
          <w:szCs w:val="22"/>
        </w:rPr>
      </w:pPr>
    </w:p>
    <w:p w:rsidR="00E34D03" w:rsidRPr="00E34D03" w:rsidRDefault="00E34D03" w:rsidP="00DF7E39">
      <w:pPr>
        <w:pStyle w:val="ListParagraph"/>
        <w:spacing w:line="240" w:lineRule="auto"/>
        <w:rPr>
          <w:rFonts w:ascii="Palatino Linotype" w:hAnsi="Palatino Linotype"/>
          <w:b/>
          <w:bCs/>
          <w:sz w:val="22"/>
          <w:szCs w:val="22"/>
        </w:rPr>
      </w:pPr>
      <w:r w:rsidRPr="00E34D03">
        <w:rPr>
          <w:rFonts w:ascii="Palatino Linotype" w:hAnsi="Palatino Linotype"/>
          <w:b/>
          <w:bCs/>
          <w:sz w:val="22"/>
          <w:szCs w:val="22"/>
        </w:rPr>
        <w:t xml:space="preserve">Figure 5: Performance of NSE Indices during </w:t>
      </w:r>
      <w:r w:rsidR="00E41BE8">
        <w:rPr>
          <w:rFonts w:ascii="Palatino Linotype" w:hAnsi="Palatino Linotype"/>
          <w:b/>
          <w:bCs/>
          <w:sz w:val="22"/>
          <w:szCs w:val="22"/>
        </w:rPr>
        <w:t>September</w:t>
      </w:r>
      <w:r w:rsidRPr="00E34D03">
        <w:rPr>
          <w:rFonts w:ascii="Palatino Linotype" w:hAnsi="Palatino Linotype"/>
          <w:b/>
          <w:bCs/>
          <w:sz w:val="22"/>
          <w:szCs w:val="22"/>
        </w:rPr>
        <w:t xml:space="preserve"> 2019</w:t>
      </w:r>
    </w:p>
    <w:p w:rsidR="00E17832" w:rsidRDefault="00E17832" w:rsidP="0032036A">
      <w:pPr>
        <w:jc w:val="both"/>
        <w:rPr>
          <w:rFonts w:ascii="Palatino Linotype" w:eastAsia="Times New Roman" w:hAnsi="Palatino Linotype"/>
          <w:bCs/>
          <w:sz w:val="22"/>
          <w:szCs w:val="22"/>
          <w:lang w:val="en-US"/>
        </w:rPr>
      </w:pPr>
    </w:p>
    <w:p w:rsidR="00DF7E39" w:rsidRDefault="00227721" w:rsidP="00DF7E39">
      <w:pPr>
        <w:widowControl w:val="0"/>
        <w:ind w:left="720"/>
        <w:contextualSpacing/>
        <w:jc w:val="both"/>
        <w:rPr>
          <w:rFonts w:ascii="Palatino Linotype" w:hAnsi="Palatino Linotype"/>
          <w:b/>
          <w:sz w:val="22"/>
          <w:szCs w:val="22"/>
        </w:rPr>
      </w:pPr>
      <w:r>
        <w:rPr>
          <w:noProof/>
          <w:lang w:val="en-US" w:bidi="hi-IN"/>
        </w:rPr>
        <w:drawing>
          <wp:inline distT="0" distB="0" distL="0" distR="0" wp14:anchorId="3C447965" wp14:editId="5009F361">
            <wp:extent cx="5915025" cy="2927638"/>
            <wp:effectExtent l="0" t="0" r="9525"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A169B" w:rsidRDefault="00EA169B" w:rsidP="00DF7E39">
      <w:pPr>
        <w:widowControl w:val="0"/>
        <w:ind w:left="720"/>
        <w:contextualSpacing/>
        <w:jc w:val="both"/>
        <w:rPr>
          <w:rFonts w:ascii="Palatino Linotype" w:hAnsi="Palatino Linotype"/>
          <w:b/>
          <w:sz w:val="22"/>
          <w:szCs w:val="22"/>
        </w:rPr>
      </w:pPr>
    </w:p>
    <w:p w:rsidR="0032036A" w:rsidRPr="00BA2435" w:rsidRDefault="0032036A" w:rsidP="00BA2435">
      <w:pPr>
        <w:widowControl w:val="0"/>
        <w:numPr>
          <w:ilvl w:val="0"/>
          <w:numId w:val="2"/>
        </w:numPr>
        <w:contextualSpacing/>
        <w:jc w:val="both"/>
        <w:rPr>
          <w:rFonts w:ascii="Palatino Linotype" w:hAnsi="Palatino Linotype"/>
          <w:b/>
          <w:sz w:val="22"/>
          <w:szCs w:val="22"/>
        </w:rPr>
      </w:pPr>
      <w:r w:rsidRPr="00BA2435">
        <w:rPr>
          <w:rFonts w:ascii="Palatino Linotype" w:hAnsi="Palatino Linotype"/>
          <w:b/>
          <w:sz w:val="22"/>
          <w:szCs w:val="22"/>
        </w:rPr>
        <w:t xml:space="preserve">Trends in Depository Accounts </w:t>
      </w:r>
    </w:p>
    <w:p w:rsidR="0032036A" w:rsidRPr="009A0EB3" w:rsidRDefault="0032036A" w:rsidP="0032036A">
      <w:pPr>
        <w:widowControl w:val="0"/>
        <w:jc w:val="both"/>
        <w:rPr>
          <w:rFonts w:ascii="Palatino Linotype" w:hAnsi="Palatino Linotype"/>
          <w:b/>
          <w:color w:val="000000" w:themeColor="text1"/>
          <w:sz w:val="22"/>
          <w:szCs w:val="22"/>
        </w:rPr>
      </w:pPr>
    </w:p>
    <w:p w:rsidR="0032036A" w:rsidRPr="009A0EB3" w:rsidRDefault="0032036A" w:rsidP="004028D9">
      <w:pPr>
        <w:spacing w:line="276" w:lineRule="auto"/>
        <w:jc w:val="both"/>
        <w:rPr>
          <w:rFonts w:ascii="Palatino Linotype" w:eastAsia="Times New Roman" w:hAnsi="Palatino Linotype"/>
          <w:color w:val="000000" w:themeColor="text1"/>
          <w:sz w:val="22"/>
          <w:szCs w:val="22"/>
        </w:rPr>
      </w:pPr>
      <w:r w:rsidRPr="00DC3596">
        <w:rPr>
          <w:rFonts w:ascii="Palatino Linotype" w:eastAsia="Times New Roman" w:hAnsi="Palatino Linotype"/>
          <w:color w:val="000000" w:themeColor="text1"/>
          <w:sz w:val="22"/>
          <w:szCs w:val="22"/>
        </w:rPr>
        <w:t xml:space="preserve">At the end of </w:t>
      </w:r>
      <w:r w:rsidR="00E41BE8">
        <w:rPr>
          <w:rFonts w:ascii="Palatino Linotype" w:eastAsia="Times New Roman" w:hAnsi="Palatino Linotype"/>
          <w:color w:val="000000" w:themeColor="text1"/>
          <w:sz w:val="22"/>
          <w:szCs w:val="22"/>
        </w:rPr>
        <w:t>September</w:t>
      </w:r>
      <w:r w:rsidRPr="00DC3596">
        <w:rPr>
          <w:rFonts w:ascii="Palatino Linotype" w:eastAsia="Times New Roman" w:hAnsi="Palatino Linotype"/>
          <w:color w:val="000000" w:themeColor="text1"/>
          <w:sz w:val="22"/>
          <w:szCs w:val="22"/>
        </w:rPr>
        <w:t xml:space="preserve"> 2019, there were </w:t>
      </w:r>
      <w:r w:rsidR="00E41BE8">
        <w:rPr>
          <w:rFonts w:ascii="Palatino Linotype" w:eastAsia="Times New Roman" w:hAnsi="Palatino Linotype"/>
          <w:color w:val="000000" w:themeColor="text1"/>
          <w:sz w:val="22"/>
          <w:szCs w:val="22"/>
        </w:rPr>
        <w:t>205</w:t>
      </w:r>
      <w:r w:rsidRPr="00DC3596">
        <w:rPr>
          <w:rFonts w:ascii="Palatino Linotype" w:eastAsia="Times New Roman" w:hAnsi="Palatino Linotype"/>
          <w:color w:val="FF0000"/>
          <w:sz w:val="22"/>
          <w:szCs w:val="22"/>
        </w:rPr>
        <w:t xml:space="preserve"> </w:t>
      </w:r>
      <w:r w:rsidRPr="00DC3596">
        <w:rPr>
          <w:rFonts w:ascii="Palatino Linotype" w:eastAsia="Times New Roman" w:hAnsi="Palatino Linotype"/>
          <w:color w:val="000000" w:themeColor="text1"/>
          <w:sz w:val="22"/>
          <w:szCs w:val="22"/>
        </w:rPr>
        <w:t>lakh demat accounts at NSDL and 18</w:t>
      </w:r>
      <w:r w:rsidR="00E41BE8">
        <w:rPr>
          <w:rFonts w:ascii="Palatino Linotype" w:eastAsia="Times New Roman" w:hAnsi="Palatino Linotype"/>
          <w:color w:val="000000" w:themeColor="text1"/>
          <w:sz w:val="22"/>
          <w:szCs w:val="22"/>
        </w:rPr>
        <w:t>8</w:t>
      </w:r>
      <w:r w:rsidRPr="00DC3596">
        <w:rPr>
          <w:rFonts w:ascii="Palatino Linotype" w:eastAsia="Times New Roman" w:hAnsi="Palatino Linotype"/>
          <w:color w:val="000000" w:themeColor="text1"/>
          <w:sz w:val="22"/>
          <w:szCs w:val="22"/>
        </w:rPr>
        <w:t xml:space="preserve"> lakh demat accounts at CDSL. Till the end of </w:t>
      </w:r>
      <w:r w:rsidR="00E41BE8">
        <w:rPr>
          <w:rFonts w:ascii="Palatino Linotype" w:eastAsia="Times New Roman" w:hAnsi="Palatino Linotype"/>
          <w:color w:val="000000" w:themeColor="text1"/>
          <w:sz w:val="22"/>
          <w:szCs w:val="22"/>
        </w:rPr>
        <w:t>September</w:t>
      </w:r>
      <w:r w:rsidRPr="00DC3596">
        <w:rPr>
          <w:rFonts w:ascii="Palatino Linotype" w:eastAsia="Times New Roman" w:hAnsi="Palatino Linotype"/>
          <w:color w:val="000000" w:themeColor="text1"/>
          <w:sz w:val="22"/>
          <w:szCs w:val="22"/>
        </w:rPr>
        <w:t xml:space="preserve"> 2019, </w:t>
      </w:r>
      <w:r w:rsidR="00E41BE8" w:rsidRPr="00E41BE8">
        <w:rPr>
          <w:rFonts w:ascii="Palatino Linotype" w:eastAsia="Times New Roman" w:hAnsi="Palatino Linotype"/>
          <w:color w:val="000000" w:themeColor="text1"/>
          <w:sz w:val="22"/>
          <w:szCs w:val="22"/>
        </w:rPr>
        <w:t>5,682</w:t>
      </w:r>
      <w:r w:rsidR="00E41BE8">
        <w:rPr>
          <w:rFonts w:ascii="Palatino Linotype" w:eastAsia="Times New Roman" w:hAnsi="Palatino Linotype"/>
          <w:color w:val="000000" w:themeColor="text1"/>
          <w:sz w:val="22"/>
          <w:szCs w:val="22"/>
        </w:rPr>
        <w:t xml:space="preserve"> </w:t>
      </w:r>
      <w:r w:rsidRPr="00DC3596">
        <w:rPr>
          <w:rFonts w:ascii="Palatino Linotype" w:eastAsia="Times New Roman" w:hAnsi="Palatino Linotype"/>
          <w:color w:val="000000" w:themeColor="text1"/>
          <w:sz w:val="22"/>
          <w:szCs w:val="22"/>
        </w:rPr>
        <w:t xml:space="preserve">listed companies were signed up with NSDL </w:t>
      </w:r>
      <w:r w:rsidR="00E41BE8" w:rsidRPr="00E41BE8">
        <w:rPr>
          <w:rFonts w:ascii="Palatino Linotype" w:eastAsia="Times New Roman" w:hAnsi="Palatino Linotype"/>
          <w:color w:val="000000" w:themeColor="text1"/>
          <w:sz w:val="22"/>
          <w:szCs w:val="22"/>
        </w:rPr>
        <w:t>5,622</w:t>
      </w:r>
      <w:r w:rsidR="00E41BE8">
        <w:rPr>
          <w:rFonts w:ascii="Palatino Linotype" w:eastAsia="Times New Roman" w:hAnsi="Palatino Linotype"/>
          <w:color w:val="000000" w:themeColor="text1"/>
          <w:sz w:val="22"/>
          <w:szCs w:val="22"/>
        </w:rPr>
        <w:t xml:space="preserve"> </w:t>
      </w:r>
      <w:r w:rsidRPr="00DC3596">
        <w:rPr>
          <w:rFonts w:ascii="Palatino Linotype" w:eastAsia="Times New Roman" w:hAnsi="Palatino Linotype"/>
          <w:color w:val="000000" w:themeColor="text1"/>
          <w:sz w:val="22"/>
          <w:szCs w:val="22"/>
        </w:rPr>
        <w:t>listed companies were signed up with CDSL to make their shares available in dematerialised form.</w:t>
      </w:r>
    </w:p>
    <w:p w:rsidR="0032036A" w:rsidRDefault="0032036A"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6446D3" w:rsidRDefault="006446D3" w:rsidP="0032036A">
      <w:pPr>
        <w:jc w:val="both"/>
        <w:rPr>
          <w:rFonts w:ascii="Palatino Linotype" w:hAnsi="Palatino Linotype"/>
          <w:b/>
          <w:sz w:val="22"/>
          <w:szCs w:val="22"/>
          <w:highlight w:val="yellow"/>
        </w:rPr>
      </w:pPr>
    </w:p>
    <w:p w:rsidR="00503572" w:rsidRDefault="00503572" w:rsidP="0032036A">
      <w:pPr>
        <w:jc w:val="both"/>
        <w:rPr>
          <w:rFonts w:ascii="Palatino Linotype" w:hAnsi="Palatino Linotype"/>
          <w:b/>
          <w:sz w:val="22"/>
          <w:szCs w:val="22"/>
          <w:highlight w:val="yellow"/>
        </w:rPr>
      </w:pPr>
    </w:p>
    <w:p w:rsidR="0032036A" w:rsidRPr="009A0EB3" w:rsidRDefault="0032036A" w:rsidP="00BA2435">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Derivatives Segment</w:t>
      </w:r>
      <w:r w:rsidRPr="009A0EB3">
        <w:rPr>
          <w:rFonts w:ascii="Palatino Linotype" w:hAnsi="Palatino Linotype"/>
          <w:b/>
          <w:sz w:val="22"/>
          <w:szCs w:val="22"/>
        </w:rPr>
        <w:tab/>
      </w:r>
    </w:p>
    <w:p w:rsidR="0032036A" w:rsidRPr="009A0EB3" w:rsidRDefault="0032036A" w:rsidP="0032036A">
      <w:pPr>
        <w:widowControl w:val="0"/>
        <w:jc w:val="both"/>
        <w:rPr>
          <w:rFonts w:ascii="Palatino Linotype" w:eastAsia="Times New Roman" w:hAnsi="Palatino Linotype"/>
          <w:sz w:val="22"/>
          <w:szCs w:val="22"/>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Equity Derivatives</w:t>
      </w:r>
    </w:p>
    <w:p w:rsidR="00CA4F9B" w:rsidRDefault="00CA4F9B" w:rsidP="00CA4F9B">
      <w:pPr>
        <w:jc w:val="both"/>
        <w:rPr>
          <w:rFonts w:ascii="Palatino Linotype" w:eastAsia="Times New Roman" w:hAnsi="Palatino Linotype"/>
          <w:b/>
          <w:bCs/>
          <w:sz w:val="22"/>
          <w:szCs w:val="22"/>
        </w:rPr>
      </w:pPr>
    </w:p>
    <w:p w:rsidR="00CA4F9B" w:rsidRPr="00CA4F9B" w:rsidRDefault="00CA4F9B" w:rsidP="00CA4F9B">
      <w:pPr>
        <w:jc w:val="both"/>
        <w:rPr>
          <w:rFonts w:ascii="Palatino Linotype" w:eastAsia="Times New Roman" w:hAnsi="Palatino Linotype"/>
          <w:b/>
          <w:bCs/>
          <w:sz w:val="22"/>
          <w:szCs w:val="22"/>
        </w:rPr>
      </w:pPr>
      <w:r w:rsidRPr="00CA4F9B">
        <w:rPr>
          <w:rFonts w:ascii="Palatino Linotype" w:eastAsia="Times New Roman" w:hAnsi="Palatino Linotype"/>
          <w:b/>
          <w:bCs/>
          <w:sz w:val="22"/>
          <w:szCs w:val="22"/>
        </w:rPr>
        <w:t xml:space="preserve">Exhibit </w:t>
      </w:r>
      <w:r w:rsidR="00815E00">
        <w:rPr>
          <w:rFonts w:ascii="Palatino Linotype" w:eastAsia="Times New Roman" w:hAnsi="Palatino Linotype"/>
          <w:b/>
          <w:bCs/>
          <w:sz w:val="22"/>
          <w:szCs w:val="22"/>
        </w:rPr>
        <w:t>3</w:t>
      </w:r>
      <w:r w:rsidRPr="00CA4F9B">
        <w:rPr>
          <w:rFonts w:ascii="Palatino Linotype" w:eastAsia="Times New Roman" w:hAnsi="Palatino Linotype"/>
          <w:b/>
          <w:bCs/>
          <w:sz w:val="22"/>
          <w:szCs w:val="22"/>
        </w:rPr>
        <w:t>: Trends in Equity Derivatives Market</w:t>
      </w:r>
    </w:p>
    <w:tbl>
      <w:tblPr>
        <w:tblW w:w="9809" w:type="dxa"/>
        <w:tblLook w:val="04A0" w:firstRow="1" w:lastRow="0" w:firstColumn="1" w:lastColumn="0" w:noHBand="0" w:noVBand="1"/>
      </w:tblPr>
      <w:tblGrid>
        <w:gridCol w:w="1999"/>
        <w:gridCol w:w="1240"/>
        <w:gridCol w:w="1226"/>
        <w:gridCol w:w="1303"/>
        <w:gridCol w:w="1367"/>
        <w:gridCol w:w="1367"/>
        <w:gridCol w:w="1307"/>
      </w:tblGrid>
      <w:tr w:rsidR="00227721" w:rsidRPr="00227721" w:rsidTr="00227721">
        <w:trPr>
          <w:trHeight w:val="217"/>
        </w:trPr>
        <w:tc>
          <w:tcPr>
            <w:tcW w:w="1999"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227721" w:rsidRPr="00227721" w:rsidRDefault="00227721" w:rsidP="00227721">
            <w:pPr>
              <w:rPr>
                <w:rFonts w:ascii="Garamond" w:eastAsia="Times New Roman" w:hAnsi="Garamond"/>
                <w:b/>
                <w:bCs/>
                <w:sz w:val="20"/>
                <w:szCs w:val="20"/>
                <w:lang w:val="en-US"/>
              </w:rPr>
            </w:pPr>
            <w:bookmarkStart w:id="11" w:name="RANGE!A2:G43"/>
            <w:r w:rsidRPr="00227721">
              <w:rPr>
                <w:rFonts w:ascii="Garamond" w:eastAsia="Times New Roman" w:hAnsi="Garamond"/>
                <w:b/>
                <w:bCs/>
                <w:sz w:val="20"/>
                <w:szCs w:val="20"/>
                <w:lang w:val="en-US"/>
              </w:rPr>
              <w:t>Description</w:t>
            </w:r>
            <w:bookmarkEnd w:id="11"/>
          </w:p>
        </w:tc>
        <w:tc>
          <w:tcPr>
            <w:tcW w:w="3769"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227721" w:rsidRPr="00227721" w:rsidRDefault="00227721" w:rsidP="00227721">
            <w:pPr>
              <w:jc w:val="center"/>
              <w:rPr>
                <w:rFonts w:ascii="Garamond" w:eastAsia="Times New Roman" w:hAnsi="Garamond"/>
                <w:b/>
                <w:bCs/>
                <w:sz w:val="20"/>
                <w:szCs w:val="20"/>
                <w:lang w:val="en-US"/>
              </w:rPr>
            </w:pPr>
            <w:r w:rsidRPr="00227721">
              <w:rPr>
                <w:rFonts w:ascii="Garamond" w:eastAsia="Times New Roman" w:hAnsi="Garamond"/>
                <w:b/>
                <w:bCs/>
                <w:sz w:val="20"/>
                <w:szCs w:val="20"/>
                <w:lang w:val="en-US"/>
              </w:rPr>
              <w:t>NSE</w:t>
            </w:r>
          </w:p>
        </w:tc>
        <w:tc>
          <w:tcPr>
            <w:tcW w:w="4040"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227721" w:rsidRPr="00227721" w:rsidRDefault="00227721" w:rsidP="00227721">
            <w:pPr>
              <w:jc w:val="center"/>
              <w:rPr>
                <w:rFonts w:ascii="Garamond" w:eastAsia="Times New Roman" w:hAnsi="Garamond"/>
                <w:b/>
                <w:bCs/>
                <w:sz w:val="20"/>
                <w:szCs w:val="20"/>
                <w:lang w:val="en-US"/>
              </w:rPr>
            </w:pPr>
            <w:r w:rsidRPr="00227721">
              <w:rPr>
                <w:rFonts w:ascii="Garamond" w:eastAsia="Times New Roman" w:hAnsi="Garamond"/>
                <w:b/>
                <w:bCs/>
                <w:sz w:val="20"/>
                <w:szCs w:val="20"/>
                <w:lang w:val="en-US"/>
              </w:rPr>
              <w:t>BSE</w:t>
            </w:r>
          </w:p>
        </w:tc>
      </w:tr>
      <w:tr w:rsidR="00227721" w:rsidRPr="00227721" w:rsidTr="00227721">
        <w:trPr>
          <w:trHeight w:val="652"/>
        </w:trPr>
        <w:tc>
          <w:tcPr>
            <w:tcW w:w="1999" w:type="dxa"/>
            <w:vMerge/>
            <w:tcBorders>
              <w:top w:val="single" w:sz="4" w:space="0" w:color="auto"/>
              <w:left w:val="single" w:sz="4" w:space="0" w:color="auto"/>
              <w:bottom w:val="single" w:sz="4" w:space="0" w:color="auto"/>
              <w:right w:val="single" w:sz="4" w:space="0" w:color="auto"/>
            </w:tcBorders>
            <w:vAlign w:val="center"/>
            <w:hideMark/>
          </w:tcPr>
          <w:p w:rsidR="00227721" w:rsidRPr="00227721" w:rsidRDefault="00227721" w:rsidP="00227721">
            <w:pPr>
              <w:rPr>
                <w:rFonts w:ascii="Garamond" w:eastAsia="Times New Roman" w:hAnsi="Garamond"/>
                <w:b/>
                <w:bCs/>
                <w:sz w:val="20"/>
                <w:szCs w:val="20"/>
                <w:lang w:val="en-US"/>
              </w:rPr>
            </w:pPr>
          </w:p>
        </w:tc>
        <w:tc>
          <w:tcPr>
            <w:tcW w:w="1240" w:type="dxa"/>
            <w:tcBorders>
              <w:top w:val="nil"/>
              <w:left w:val="nil"/>
              <w:bottom w:val="nil"/>
              <w:right w:val="single" w:sz="4" w:space="0" w:color="auto"/>
            </w:tcBorders>
            <w:shd w:val="clear" w:color="000000" w:fill="8DB4E2"/>
            <w:noWrap/>
            <w:vAlign w:val="center"/>
            <w:hideMark/>
          </w:tcPr>
          <w:p w:rsidR="00227721" w:rsidRPr="00227721" w:rsidRDefault="00227721" w:rsidP="00227721">
            <w:pPr>
              <w:jc w:val="center"/>
              <w:rPr>
                <w:rFonts w:ascii="Garamond" w:eastAsia="Times New Roman" w:hAnsi="Garamond"/>
                <w:b/>
                <w:bCs/>
                <w:sz w:val="20"/>
                <w:szCs w:val="20"/>
                <w:lang w:val="en-US"/>
              </w:rPr>
            </w:pPr>
            <w:r w:rsidRPr="00227721">
              <w:rPr>
                <w:rFonts w:ascii="Garamond" w:eastAsia="Times New Roman" w:hAnsi="Garamond"/>
                <w:b/>
                <w:bCs/>
                <w:sz w:val="20"/>
                <w:szCs w:val="20"/>
                <w:lang w:val="en-US"/>
              </w:rPr>
              <w:t>Aug-19</w:t>
            </w:r>
          </w:p>
        </w:tc>
        <w:tc>
          <w:tcPr>
            <w:tcW w:w="1226" w:type="dxa"/>
            <w:tcBorders>
              <w:top w:val="nil"/>
              <w:left w:val="nil"/>
              <w:bottom w:val="nil"/>
              <w:right w:val="single" w:sz="4" w:space="0" w:color="auto"/>
            </w:tcBorders>
            <w:shd w:val="clear" w:color="000000" w:fill="8DB4E2"/>
            <w:noWrap/>
            <w:vAlign w:val="center"/>
            <w:hideMark/>
          </w:tcPr>
          <w:p w:rsidR="00227721" w:rsidRPr="00227721" w:rsidRDefault="00227721" w:rsidP="00227721">
            <w:pPr>
              <w:jc w:val="center"/>
              <w:rPr>
                <w:rFonts w:ascii="Garamond" w:eastAsia="Times New Roman" w:hAnsi="Garamond"/>
                <w:b/>
                <w:bCs/>
                <w:sz w:val="20"/>
                <w:szCs w:val="20"/>
                <w:lang w:val="en-US"/>
              </w:rPr>
            </w:pPr>
            <w:r w:rsidRPr="00227721">
              <w:rPr>
                <w:rFonts w:ascii="Garamond" w:eastAsia="Times New Roman" w:hAnsi="Garamond"/>
                <w:b/>
                <w:bCs/>
                <w:sz w:val="20"/>
                <w:szCs w:val="20"/>
                <w:lang w:val="en-US"/>
              </w:rPr>
              <w:t>Sep-19</w:t>
            </w:r>
          </w:p>
        </w:tc>
        <w:tc>
          <w:tcPr>
            <w:tcW w:w="1302" w:type="dxa"/>
            <w:tcBorders>
              <w:top w:val="nil"/>
              <w:left w:val="nil"/>
              <w:bottom w:val="nil"/>
              <w:right w:val="single" w:sz="4" w:space="0" w:color="auto"/>
            </w:tcBorders>
            <w:shd w:val="clear" w:color="000000" w:fill="8DB4E2"/>
            <w:vAlign w:val="center"/>
            <w:hideMark/>
          </w:tcPr>
          <w:p w:rsidR="00227721" w:rsidRPr="00227721" w:rsidRDefault="00227721" w:rsidP="00227721">
            <w:pPr>
              <w:jc w:val="center"/>
              <w:rPr>
                <w:rFonts w:ascii="Garamond" w:eastAsia="Times New Roman" w:hAnsi="Garamond"/>
                <w:b/>
                <w:bCs/>
                <w:sz w:val="20"/>
                <w:szCs w:val="20"/>
                <w:lang w:val="en-US"/>
              </w:rPr>
            </w:pPr>
            <w:r w:rsidRPr="00227721">
              <w:rPr>
                <w:rFonts w:ascii="Garamond" w:eastAsia="Times New Roman" w:hAnsi="Garamond"/>
                <w:b/>
                <w:bCs/>
                <w:sz w:val="20"/>
                <w:szCs w:val="20"/>
                <w:lang w:val="en-US"/>
              </w:rPr>
              <w:t>Percentage Change Over Month</w:t>
            </w:r>
          </w:p>
        </w:tc>
        <w:tc>
          <w:tcPr>
            <w:tcW w:w="1367" w:type="dxa"/>
            <w:tcBorders>
              <w:top w:val="nil"/>
              <w:left w:val="nil"/>
              <w:bottom w:val="nil"/>
              <w:right w:val="single" w:sz="4" w:space="0" w:color="auto"/>
            </w:tcBorders>
            <w:shd w:val="clear" w:color="000000" w:fill="8DB4E2"/>
            <w:noWrap/>
            <w:vAlign w:val="center"/>
            <w:hideMark/>
          </w:tcPr>
          <w:p w:rsidR="00227721" w:rsidRPr="00227721" w:rsidRDefault="00227721" w:rsidP="00227721">
            <w:pPr>
              <w:jc w:val="center"/>
              <w:rPr>
                <w:rFonts w:ascii="Garamond" w:eastAsia="Times New Roman" w:hAnsi="Garamond"/>
                <w:b/>
                <w:bCs/>
                <w:sz w:val="20"/>
                <w:szCs w:val="20"/>
                <w:lang w:val="en-US"/>
              </w:rPr>
            </w:pPr>
            <w:r w:rsidRPr="00227721">
              <w:rPr>
                <w:rFonts w:ascii="Garamond" w:eastAsia="Times New Roman" w:hAnsi="Garamond"/>
                <w:b/>
                <w:bCs/>
                <w:sz w:val="20"/>
                <w:szCs w:val="20"/>
                <w:lang w:val="en-US"/>
              </w:rPr>
              <w:t>Aug-19</w:t>
            </w:r>
          </w:p>
        </w:tc>
        <w:tc>
          <w:tcPr>
            <w:tcW w:w="1367" w:type="dxa"/>
            <w:tcBorders>
              <w:top w:val="nil"/>
              <w:left w:val="nil"/>
              <w:bottom w:val="nil"/>
              <w:right w:val="single" w:sz="4" w:space="0" w:color="auto"/>
            </w:tcBorders>
            <w:shd w:val="clear" w:color="000000" w:fill="8DB4E2"/>
            <w:noWrap/>
            <w:vAlign w:val="center"/>
            <w:hideMark/>
          </w:tcPr>
          <w:p w:rsidR="00227721" w:rsidRPr="00227721" w:rsidRDefault="00227721" w:rsidP="00227721">
            <w:pPr>
              <w:jc w:val="center"/>
              <w:rPr>
                <w:rFonts w:ascii="Garamond" w:eastAsia="Times New Roman" w:hAnsi="Garamond"/>
                <w:b/>
                <w:bCs/>
                <w:sz w:val="20"/>
                <w:szCs w:val="20"/>
                <w:lang w:val="en-US"/>
              </w:rPr>
            </w:pPr>
            <w:r w:rsidRPr="00227721">
              <w:rPr>
                <w:rFonts w:ascii="Garamond" w:eastAsia="Times New Roman" w:hAnsi="Garamond"/>
                <w:b/>
                <w:bCs/>
                <w:sz w:val="20"/>
                <w:szCs w:val="20"/>
                <w:lang w:val="en-US"/>
              </w:rPr>
              <w:t>Sep-19</w:t>
            </w:r>
          </w:p>
        </w:tc>
        <w:tc>
          <w:tcPr>
            <w:tcW w:w="1305" w:type="dxa"/>
            <w:tcBorders>
              <w:top w:val="nil"/>
              <w:left w:val="nil"/>
              <w:bottom w:val="nil"/>
              <w:right w:val="single" w:sz="4" w:space="0" w:color="auto"/>
            </w:tcBorders>
            <w:shd w:val="clear" w:color="000000" w:fill="8DB4E2"/>
            <w:vAlign w:val="center"/>
            <w:hideMark/>
          </w:tcPr>
          <w:p w:rsidR="00227721" w:rsidRPr="00227721" w:rsidRDefault="00227721" w:rsidP="00227721">
            <w:pPr>
              <w:jc w:val="center"/>
              <w:rPr>
                <w:rFonts w:ascii="Garamond" w:eastAsia="Times New Roman" w:hAnsi="Garamond"/>
                <w:b/>
                <w:bCs/>
                <w:sz w:val="20"/>
                <w:szCs w:val="20"/>
                <w:lang w:val="en-US"/>
              </w:rPr>
            </w:pPr>
            <w:r w:rsidRPr="00227721">
              <w:rPr>
                <w:rFonts w:ascii="Garamond" w:eastAsia="Times New Roman" w:hAnsi="Garamond"/>
                <w:b/>
                <w:bCs/>
                <w:sz w:val="20"/>
                <w:szCs w:val="20"/>
                <w:lang w:val="en-US"/>
              </w:rPr>
              <w:t>Percentage Change Over Month</w:t>
            </w:r>
          </w:p>
        </w:tc>
      </w:tr>
      <w:tr w:rsidR="00227721" w:rsidRPr="00227721" w:rsidTr="00227721">
        <w:trPr>
          <w:trHeight w:val="217"/>
        </w:trPr>
        <w:tc>
          <w:tcPr>
            <w:tcW w:w="9809"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227721" w:rsidRPr="00227721" w:rsidRDefault="00227721" w:rsidP="00227721">
            <w:pPr>
              <w:rPr>
                <w:rFonts w:ascii="Garamond" w:eastAsia="Times New Roman" w:hAnsi="Garamond"/>
                <w:b/>
                <w:bCs/>
                <w:sz w:val="20"/>
                <w:szCs w:val="20"/>
                <w:lang w:val="en-US"/>
              </w:rPr>
            </w:pPr>
            <w:r w:rsidRPr="00227721">
              <w:rPr>
                <w:rFonts w:ascii="Garamond" w:eastAsia="Times New Roman" w:hAnsi="Garamond"/>
                <w:b/>
                <w:bCs/>
                <w:sz w:val="20"/>
                <w:szCs w:val="20"/>
                <w:lang w:val="en-US"/>
              </w:rPr>
              <w:t xml:space="preserve">A. Turnover  </w:t>
            </w:r>
            <w:r w:rsidRPr="00227721">
              <w:rPr>
                <w:rFonts w:ascii="Rupee" w:eastAsia="Times New Roman" w:hAnsi="Rupee"/>
                <w:b/>
                <w:bCs/>
                <w:sz w:val="20"/>
                <w:szCs w:val="20"/>
                <w:lang w:val="en-US"/>
              </w:rPr>
              <w:t>(</w:t>
            </w:r>
            <w:r w:rsidR="006446D3" w:rsidRPr="006446D3">
              <w:rPr>
                <w:rFonts w:ascii="Rupee Foradian" w:eastAsia="Times New Roman" w:hAnsi="Rupee Foradian"/>
                <w:b/>
                <w:bCs/>
                <w:sz w:val="20"/>
                <w:szCs w:val="20"/>
                <w:lang w:val="en-US"/>
              </w:rPr>
              <w:t>`</w:t>
            </w:r>
            <w:r w:rsidRPr="00227721">
              <w:rPr>
                <w:rFonts w:ascii="Rupee" w:eastAsia="Times New Roman" w:hAnsi="Rupee"/>
                <w:b/>
                <w:bCs/>
                <w:sz w:val="20"/>
                <w:szCs w:val="20"/>
                <w:lang w:val="en-US"/>
              </w:rPr>
              <w:t xml:space="preserve"> </w:t>
            </w:r>
            <w:r w:rsidRPr="00227721">
              <w:rPr>
                <w:rFonts w:ascii="Garamond" w:eastAsia="Times New Roman" w:hAnsi="Garamond"/>
                <w:b/>
                <w:bCs/>
                <w:sz w:val="20"/>
                <w:szCs w:val="20"/>
                <w:lang w:val="en-US"/>
              </w:rPr>
              <w:t>crore)</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sz w:val="20"/>
                <w:szCs w:val="20"/>
                <w:lang w:val="en-US"/>
              </w:rPr>
            </w:pPr>
            <w:r w:rsidRPr="00227721">
              <w:rPr>
                <w:rFonts w:ascii="Garamond" w:eastAsia="Times New Roman" w:hAnsi="Garamond"/>
                <w:sz w:val="20"/>
                <w:szCs w:val="20"/>
                <w:lang w:val="en-US"/>
              </w:rPr>
              <w:t xml:space="preserve">   (i) Index  Futures</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6,06,554</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6,40,331</w:t>
            </w:r>
          </w:p>
        </w:tc>
        <w:tc>
          <w:tcPr>
            <w:tcW w:w="1302" w:type="dxa"/>
            <w:tcBorders>
              <w:top w:val="nil"/>
              <w:left w:val="nil"/>
              <w:bottom w:val="nil"/>
              <w:right w:val="nil"/>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5.6</w:t>
            </w:r>
          </w:p>
        </w:tc>
        <w:tc>
          <w:tcPr>
            <w:tcW w:w="1367" w:type="dxa"/>
            <w:tcBorders>
              <w:top w:val="nil"/>
              <w:left w:val="single" w:sz="4" w:space="0" w:color="auto"/>
              <w:bottom w:val="nil"/>
              <w:right w:val="single" w:sz="4" w:space="0" w:color="auto"/>
            </w:tcBorders>
            <w:shd w:val="clear" w:color="auto" w:fill="auto"/>
            <w:vAlign w:val="center"/>
            <w:hideMark/>
          </w:tcPr>
          <w:p w:rsidR="00227721" w:rsidRPr="00227721" w:rsidRDefault="00227721" w:rsidP="00227721">
            <w:pPr>
              <w:jc w:val="right"/>
              <w:rPr>
                <w:rFonts w:ascii="Garamond" w:eastAsia="Times New Roman" w:hAnsi="Garamond"/>
                <w:color w:val="000000"/>
                <w:sz w:val="20"/>
                <w:szCs w:val="20"/>
                <w:lang w:val="en-US"/>
              </w:rPr>
            </w:pPr>
            <w:r w:rsidRPr="00227721">
              <w:rPr>
                <w:rFonts w:ascii="Garamond" w:eastAsia="Times New Roman" w:hAnsi="Garamond"/>
                <w:color w:val="000000"/>
                <w:sz w:val="20"/>
                <w:szCs w:val="20"/>
                <w:lang w:val="en-US"/>
              </w:rPr>
              <w:t>0.8</w:t>
            </w:r>
          </w:p>
        </w:tc>
        <w:tc>
          <w:tcPr>
            <w:tcW w:w="1367" w:type="dxa"/>
            <w:tcBorders>
              <w:top w:val="nil"/>
              <w:left w:val="nil"/>
              <w:bottom w:val="nil"/>
              <w:right w:val="single" w:sz="4" w:space="0" w:color="auto"/>
            </w:tcBorders>
            <w:shd w:val="clear" w:color="auto" w:fill="auto"/>
            <w:vAlign w:val="center"/>
            <w:hideMark/>
          </w:tcPr>
          <w:p w:rsidR="00227721" w:rsidRPr="00227721" w:rsidRDefault="00227721" w:rsidP="00227721">
            <w:pPr>
              <w:jc w:val="right"/>
              <w:rPr>
                <w:rFonts w:ascii="Garamond" w:eastAsia="Times New Roman" w:hAnsi="Garamond"/>
                <w:color w:val="000000"/>
                <w:sz w:val="20"/>
                <w:szCs w:val="20"/>
                <w:lang w:val="en-US"/>
              </w:rPr>
            </w:pPr>
            <w:r w:rsidRPr="00227721">
              <w:rPr>
                <w:rFonts w:ascii="Garamond" w:eastAsia="Times New Roman" w:hAnsi="Garamond"/>
                <w:color w:val="000000"/>
                <w:sz w:val="20"/>
                <w:szCs w:val="20"/>
                <w:lang w:val="en-US"/>
              </w:rPr>
              <w:t>271.5</w:t>
            </w:r>
          </w:p>
        </w:tc>
        <w:tc>
          <w:tcPr>
            <w:tcW w:w="1305" w:type="dxa"/>
            <w:tcBorders>
              <w:top w:val="nil"/>
              <w:left w:val="nil"/>
              <w:bottom w:val="nil"/>
              <w:right w:val="nil"/>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32519</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sz w:val="20"/>
                <w:szCs w:val="20"/>
                <w:lang w:val="en-US"/>
              </w:rPr>
            </w:pPr>
            <w:r w:rsidRPr="00227721">
              <w:rPr>
                <w:rFonts w:ascii="Garamond" w:eastAsia="Times New Roman" w:hAnsi="Garamond"/>
                <w:sz w:val="20"/>
                <w:szCs w:val="20"/>
                <w:lang w:val="en-US"/>
              </w:rPr>
              <w:t xml:space="preserve">   (ii) Options on Index</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02" w:type="dxa"/>
            <w:tcBorders>
              <w:top w:val="nil"/>
              <w:left w:val="nil"/>
              <w:bottom w:val="nil"/>
              <w:right w:val="nil"/>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p>
        </w:tc>
        <w:tc>
          <w:tcPr>
            <w:tcW w:w="1367" w:type="dxa"/>
            <w:tcBorders>
              <w:top w:val="nil"/>
              <w:left w:val="single" w:sz="4" w:space="0" w:color="auto"/>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i/>
                <w:iCs/>
                <w:sz w:val="20"/>
                <w:szCs w:val="20"/>
                <w:lang w:val="en-US"/>
              </w:rPr>
            </w:pPr>
            <w:r w:rsidRPr="00227721">
              <w:rPr>
                <w:rFonts w:ascii="Garamond" w:eastAsia="Times New Roman" w:hAnsi="Garamond"/>
                <w:i/>
                <w:iCs/>
                <w:sz w:val="20"/>
                <w:szCs w:val="20"/>
                <w:lang w:val="en-US"/>
              </w:rPr>
              <w:t xml:space="preserve">            Put</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1,22,58,488</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1,16,07,223</w:t>
            </w:r>
          </w:p>
        </w:tc>
        <w:tc>
          <w:tcPr>
            <w:tcW w:w="1302" w:type="dxa"/>
            <w:tcBorders>
              <w:top w:val="nil"/>
              <w:left w:val="nil"/>
              <w:bottom w:val="nil"/>
              <w:right w:val="nil"/>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-5.3</w:t>
            </w:r>
          </w:p>
        </w:tc>
        <w:tc>
          <w:tcPr>
            <w:tcW w:w="1367" w:type="dxa"/>
            <w:tcBorders>
              <w:top w:val="nil"/>
              <w:left w:val="single" w:sz="4" w:space="0" w:color="auto"/>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0.0</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0.0</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NA</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i/>
                <w:iCs/>
                <w:sz w:val="20"/>
                <w:szCs w:val="20"/>
                <w:lang w:val="en-US"/>
              </w:rPr>
            </w:pPr>
            <w:r w:rsidRPr="00227721">
              <w:rPr>
                <w:rFonts w:ascii="Garamond" w:eastAsia="Times New Roman" w:hAnsi="Garamond"/>
                <w:i/>
                <w:iCs/>
                <w:sz w:val="20"/>
                <w:szCs w:val="20"/>
                <w:lang w:val="en-US"/>
              </w:rPr>
              <w:t xml:space="preserve">           Call</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1,53,70,795</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1,43,86,400</w:t>
            </w:r>
          </w:p>
        </w:tc>
        <w:tc>
          <w:tcPr>
            <w:tcW w:w="1302" w:type="dxa"/>
            <w:tcBorders>
              <w:top w:val="nil"/>
              <w:left w:val="nil"/>
              <w:bottom w:val="nil"/>
              <w:right w:val="nil"/>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-6.4</w:t>
            </w:r>
          </w:p>
        </w:tc>
        <w:tc>
          <w:tcPr>
            <w:tcW w:w="1367" w:type="dxa"/>
            <w:tcBorders>
              <w:top w:val="nil"/>
              <w:left w:val="single" w:sz="4" w:space="0" w:color="auto"/>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0.0</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0.0</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NA</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sz w:val="20"/>
                <w:szCs w:val="20"/>
                <w:lang w:val="en-US"/>
              </w:rPr>
            </w:pPr>
            <w:r w:rsidRPr="00227721">
              <w:rPr>
                <w:rFonts w:ascii="Garamond" w:eastAsia="Times New Roman" w:hAnsi="Garamond"/>
                <w:sz w:val="20"/>
                <w:szCs w:val="20"/>
                <w:lang w:val="en-US"/>
              </w:rPr>
              <w:t xml:space="preserve">  (iii) Stock Futures</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12,06,917</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12,46,228</w:t>
            </w:r>
          </w:p>
        </w:tc>
        <w:tc>
          <w:tcPr>
            <w:tcW w:w="1302" w:type="dxa"/>
            <w:tcBorders>
              <w:top w:val="nil"/>
              <w:left w:val="nil"/>
              <w:bottom w:val="nil"/>
              <w:right w:val="nil"/>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3.3</w:t>
            </w:r>
          </w:p>
        </w:tc>
        <w:tc>
          <w:tcPr>
            <w:tcW w:w="1367" w:type="dxa"/>
            <w:tcBorders>
              <w:top w:val="nil"/>
              <w:left w:val="single" w:sz="4" w:space="0" w:color="auto"/>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18.8</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43.0</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128.7</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sz w:val="20"/>
                <w:szCs w:val="20"/>
                <w:lang w:val="en-US"/>
              </w:rPr>
            </w:pPr>
            <w:r w:rsidRPr="00227721">
              <w:rPr>
                <w:rFonts w:ascii="Garamond" w:eastAsia="Times New Roman" w:hAnsi="Garamond"/>
                <w:sz w:val="20"/>
                <w:szCs w:val="20"/>
                <w:lang w:val="en-US"/>
              </w:rPr>
              <w:t>(iv) Options on Stock</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02" w:type="dxa"/>
            <w:tcBorders>
              <w:top w:val="nil"/>
              <w:left w:val="nil"/>
              <w:bottom w:val="nil"/>
              <w:right w:val="nil"/>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67" w:type="dxa"/>
            <w:tcBorders>
              <w:top w:val="nil"/>
              <w:left w:val="single" w:sz="4" w:space="0" w:color="auto"/>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i/>
                <w:iCs/>
                <w:sz w:val="20"/>
                <w:szCs w:val="20"/>
                <w:lang w:val="en-US"/>
              </w:rPr>
            </w:pPr>
            <w:r w:rsidRPr="00227721">
              <w:rPr>
                <w:rFonts w:ascii="Garamond" w:eastAsia="Times New Roman" w:hAnsi="Garamond"/>
                <w:i/>
                <w:iCs/>
                <w:sz w:val="20"/>
                <w:szCs w:val="20"/>
                <w:lang w:val="en-US"/>
              </w:rPr>
              <w:t xml:space="preserve">            Put</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3,80,210</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3,71,253</w:t>
            </w:r>
          </w:p>
        </w:tc>
        <w:tc>
          <w:tcPr>
            <w:tcW w:w="1302" w:type="dxa"/>
            <w:tcBorders>
              <w:top w:val="nil"/>
              <w:left w:val="nil"/>
              <w:bottom w:val="nil"/>
              <w:right w:val="nil"/>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-2.4</w:t>
            </w:r>
          </w:p>
        </w:tc>
        <w:tc>
          <w:tcPr>
            <w:tcW w:w="1367" w:type="dxa"/>
            <w:tcBorders>
              <w:top w:val="nil"/>
              <w:left w:val="single" w:sz="4" w:space="0" w:color="auto"/>
              <w:bottom w:val="nil"/>
              <w:right w:val="single" w:sz="4" w:space="0" w:color="auto"/>
            </w:tcBorders>
            <w:shd w:val="clear" w:color="auto" w:fill="auto"/>
            <w:noWrap/>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0.0</w:t>
            </w:r>
          </w:p>
        </w:tc>
        <w:tc>
          <w:tcPr>
            <w:tcW w:w="1367" w:type="dxa"/>
            <w:tcBorders>
              <w:top w:val="nil"/>
              <w:left w:val="nil"/>
              <w:bottom w:val="nil"/>
              <w:right w:val="single" w:sz="4" w:space="0" w:color="auto"/>
            </w:tcBorders>
            <w:shd w:val="clear" w:color="auto" w:fill="auto"/>
            <w:noWrap/>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14.8</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NA</w:t>
            </w:r>
          </w:p>
        </w:tc>
      </w:tr>
      <w:tr w:rsidR="00227721" w:rsidRPr="00227721" w:rsidTr="00227721">
        <w:trPr>
          <w:trHeight w:val="217"/>
        </w:trPr>
        <w:tc>
          <w:tcPr>
            <w:tcW w:w="1999" w:type="dxa"/>
            <w:tcBorders>
              <w:top w:val="nil"/>
              <w:left w:val="single" w:sz="4" w:space="0" w:color="auto"/>
              <w:bottom w:val="single" w:sz="4" w:space="0" w:color="auto"/>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i/>
                <w:iCs/>
                <w:sz w:val="20"/>
                <w:szCs w:val="20"/>
                <w:lang w:val="en-US"/>
              </w:rPr>
            </w:pPr>
            <w:r w:rsidRPr="00227721">
              <w:rPr>
                <w:rFonts w:ascii="Garamond" w:eastAsia="Times New Roman" w:hAnsi="Garamond"/>
                <w:i/>
                <w:iCs/>
                <w:sz w:val="20"/>
                <w:szCs w:val="20"/>
                <w:lang w:val="en-US"/>
              </w:rPr>
              <w:t xml:space="preserve">          Call</w:t>
            </w:r>
          </w:p>
        </w:tc>
        <w:tc>
          <w:tcPr>
            <w:tcW w:w="1240" w:type="dxa"/>
            <w:tcBorders>
              <w:top w:val="nil"/>
              <w:left w:val="nil"/>
              <w:bottom w:val="single" w:sz="4" w:space="0" w:color="auto"/>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6,54,814</w:t>
            </w:r>
          </w:p>
        </w:tc>
        <w:tc>
          <w:tcPr>
            <w:tcW w:w="1226" w:type="dxa"/>
            <w:tcBorders>
              <w:top w:val="nil"/>
              <w:left w:val="nil"/>
              <w:bottom w:val="single" w:sz="4" w:space="0" w:color="auto"/>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6,67,880</w:t>
            </w:r>
          </w:p>
        </w:tc>
        <w:tc>
          <w:tcPr>
            <w:tcW w:w="1302" w:type="dxa"/>
            <w:tcBorders>
              <w:top w:val="nil"/>
              <w:left w:val="nil"/>
              <w:bottom w:val="single" w:sz="4" w:space="0" w:color="auto"/>
              <w:right w:val="nil"/>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2.0</w:t>
            </w:r>
          </w:p>
        </w:tc>
        <w:tc>
          <w:tcPr>
            <w:tcW w:w="1367" w:type="dxa"/>
            <w:tcBorders>
              <w:top w:val="nil"/>
              <w:left w:val="single" w:sz="4" w:space="0" w:color="auto"/>
              <w:bottom w:val="single" w:sz="4" w:space="0" w:color="auto"/>
              <w:right w:val="single" w:sz="4" w:space="0" w:color="auto"/>
            </w:tcBorders>
            <w:shd w:val="clear" w:color="auto" w:fill="auto"/>
            <w:noWrap/>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0.0</w:t>
            </w:r>
          </w:p>
        </w:tc>
        <w:tc>
          <w:tcPr>
            <w:tcW w:w="1367" w:type="dxa"/>
            <w:tcBorders>
              <w:top w:val="nil"/>
              <w:left w:val="nil"/>
              <w:bottom w:val="single" w:sz="4" w:space="0" w:color="auto"/>
              <w:right w:val="single" w:sz="4" w:space="0" w:color="auto"/>
            </w:tcBorders>
            <w:shd w:val="clear" w:color="auto" w:fill="auto"/>
            <w:noWrap/>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266.0</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NA</w:t>
            </w:r>
          </w:p>
        </w:tc>
      </w:tr>
      <w:tr w:rsidR="00227721" w:rsidRPr="00227721" w:rsidTr="00227721">
        <w:trPr>
          <w:trHeight w:val="217"/>
        </w:trPr>
        <w:tc>
          <w:tcPr>
            <w:tcW w:w="1999" w:type="dxa"/>
            <w:tcBorders>
              <w:top w:val="nil"/>
              <w:left w:val="single" w:sz="4" w:space="0" w:color="auto"/>
              <w:bottom w:val="single" w:sz="4" w:space="0" w:color="auto"/>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b/>
                <w:bCs/>
                <w:sz w:val="20"/>
                <w:szCs w:val="20"/>
                <w:lang w:val="en-US"/>
              </w:rPr>
            </w:pPr>
            <w:r w:rsidRPr="00227721">
              <w:rPr>
                <w:rFonts w:ascii="Garamond" w:eastAsia="Times New Roman" w:hAnsi="Garamond"/>
                <w:b/>
                <w:bCs/>
                <w:sz w:val="20"/>
                <w:szCs w:val="20"/>
                <w:lang w:val="en-US"/>
              </w:rPr>
              <w:t xml:space="preserve">         Total</w:t>
            </w:r>
          </w:p>
        </w:tc>
        <w:tc>
          <w:tcPr>
            <w:tcW w:w="1240" w:type="dxa"/>
            <w:tcBorders>
              <w:top w:val="nil"/>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3,04,77,779</w:t>
            </w:r>
          </w:p>
        </w:tc>
        <w:tc>
          <w:tcPr>
            <w:tcW w:w="1226" w:type="dxa"/>
            <w:tcBorders>
              <w:top w:val="nil"/>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2,89,19,316</w:t>
            </w:r>
          </w:p>
        </w:tc>
        <w:tc>
          <w:tcPr>
            <w:tcW w:w="1302" w:type="dxa"/>
            <w:tcBorders>
              <w:top w:val="nil"/>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-5.1</w:t>
            </w:r>
          </w:p>
        </w:tc>
        <w:tc>
          <w:tcPr>
            <w:tcW w:w="1367" w:type="dxa"/>
            <w:tcBorders>
              <w:top w:val="nil"/>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19.6</w:t>
            </w:r>
          </w:p>
        </w:tc>
        <w:tc>
          <w:tcPr>
            <w:tcW w:w="1367" w:type="dxa"/>
            <w:tcBorders>
              <w:top w:val="nil"/>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595.3</w:t>
            </w:r>
          </w:p>
        </w:tc>
        <w:tc>
          <w:tcPr>
            <w:tcW w:w="1305" w:type="dxa"/>
            <w:tcBorders>
              <w:top w:val="single" w:sz="4" w:space="0" w:color="auto"/>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2,931.1</w:t>
            </w:r>
          </w:p>
        </w:tc>
      </w:tr>
      <w:tr w:rsidR="00227721" w:rsidRPr="00227721" w:rsidTr="00227721">
        <w:trPr>
          <w:trHeight w:val="217"/>
        </w:trPr>
        <w:tc>
          <w:tcPr>
            <w:tcW w:w="9809"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227721" w:rsidRPr="00227721" w:rsidRDefault="00227721" w:rsidP="00227721">
            <w:pPr>
              <w:rPr>
                <w:rFonts w:ascii="Garamond" w:eastAsia="Times New Roman" w:hAnsi="Garamond"/>
                <w:b/>
                <w:bCs/>
                <w:sz w:val="20"/>
                <w:szCs w:val="20"/>
                <w:lang w:val="en-US"/>
              </w:rPr>
            </w:pPr>
            <w:r w:rsidRPr="00227721">
              <w:rPr>
                <w:rFonts w:ascii="Garamond" w:eastAsia="Times New Roman" w:hAnsi="Garamond"/>
                <w:b/>
                <w:bCs/>
                <w:sz w:val="20"/>
                <w:szCs w:val="20"/>
                <w:lang w:val="en-US"/>
              </w:rPr>
              <w:t xml:space="preserve">B. No. of Contracts </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sz w:val="20"/>
                <w:szCs w:val="20"/>
                <w:lang w:val="en-US"/>
              </w:rPr>
            </w:pPr>
            <w:r w:rsidRPr="00227721">
              <w:rPr>
                <w:rFonts w:ascii="Garamond" w:eastAsia="Times New Roman" w:hAnsi="Garamond"/>
                <w:sz w:val="20"/>
                <w:szCs w:val="20"/>
                <w:lang w:val="en-US"/>
              </w:rPr>
              <w:t xml:space="preserve">   (i) Index  Futures</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87,43,443</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91,92,584</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5.1</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color w:val="000000"/>
                <w:sz w:val="20"/>
                <w:szCs w:val="20"/>
                <w:lang w:val="en-US"/>
              </w:rPr>
            </w:pPr>
            <w:r w:rsidRPr="00227721">
              <w:rPr>
                <w:rFonts w:ascii="Garamond" w:eastAsia="Times New Roman" w:hAnsi="Garamond"/>
                <w:color w:val="000000"/>
                <w:sz w:val="20"/>
                <w:szCs w:val="20"/>
                <w:lang w:val="en-US"/>
              </w:rPr>
              <w:t>9</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color w:val="000000"/>
                <w:sz w:val="20"/>
                <w:szCs w:val="20"/>
                <w:lang w:val="en-US"/>
              </w:rPr>
            </w:pPr>
            <w:r w:rsidRPr="00227721">
              <w:rPr>
                <w:rFonts w:ascii="Garamond" w:eastAsia="Times New Roman" w:hAnsi="Garamond"/>
                <w:color w:val="000000"/>
                <w:sz w:val="20"/>
                <w:szCs w:val="20"/>
                <w:lang w:val="en-US"/>
              </w:rPr>
              <w:t>2,883</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color w:val="000000"/>
                <w:sz w:val="20"/>
                <w:szCs w:val="20"/>
                <w:lang w:val="en-US"/>
              </w:rPr>
            </w:pPr>
            <w:r w:rsidRPr="00227721">
              <w:rPr>
                <w:rFonts w:ascii="Garamond" w:eastAsia="Times New Roman" w:hAnsi="Garamond"/>
                <w:color w:val="000000"/>
                <w:sz w:val="20"/>
                <w:szCs w:val="20"/>
                <w:lang w:val="en-US"/>
              </w:rPr>
              <w:t>31,933.3</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sz w:val="20"/>
                <w:szCs w:val="20"/>
                <w:lang w:val="en-US"/>
              </w:rPr>
            </w:pPr>
            <w:r w:rsidRPr="00227721">
              <w:rPr>
                <w:rFonts w:ascii="Garamond" w:eastAsia="Times New Roman" w:hAnsi="Garamond"/>
                <w:sz w:val="20"/>
                <w:szCs w:val="20"/>
                <w:lang w:val="en-US"/>
              </w:rPr>
              <w:t xml:space="preserve">   (ii) Options on Index</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i/>
                <w:iCs/>
                <w:sz w:val="20"/>
                <w:szCs w:val="20"/>
                <w:lang w:val="en-US"/>
              </w:rPr>
            </w:pPr>
            <w:r w:rsidRPr="00227721">
              <w:rPr>
                <w:rFonts w:ascii="Garamond" w:eastAsia="Times New Roman" w:hAnsi="Garamond"/>
                <w:i/>
                <w:iCs/>
                <w:sz w:val="20"/>
                <w:szCs w:val="20"/>
                <w:lang w:val="en-US"/>
              </w:rPr>
              <w:t xml:space="preserve">            Put</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19,19,54,279</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18,03,49,807</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-6.0</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NA</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i/>
                <w:iCs/>
                <w:sz w:val="20"/>
                <w:szCs w:val="20"/>
                <w:lang w:val="en-US"/>
              </w:rPr>
            </w:pPr>
            <w:r w:rsidRPr="00227721">
              <w:rPr>
                <w:rFonts w:ascii="Garamond" w:eastAsia="Times New Roman" w:hAnsi="Garamond"/>
                <w:i/>
                <w:iCs/>
                <w:sz w:val="20"/>
                <w:szCs w:val="20"/>
                <w:lang w:val="en-US"/>
              </w:rPr>
              <w:t xml:space="preserve">           Call</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23,57,38,134</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21,95,69,955</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-6.9</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NA</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sz w:val="20"/>
                <w:szCs w:val="20"/>
                <w:lang w:val="en-US"/>
              </w:rPr>
            </w:pPr>
            <w:r w:rsidRPr="00227721">
              <w:rPr>
                <w:rFonts w:ascii="Garamond" w:eastAsia="Times New Roman" w:hAnsi="Garamond"/>
                <w:sz w:val="20"/>
                <w:szCs w:val="20"/>
                <w:lang w:val="en-US"/>
              </w:rPr>
              <w:t xml:space="preserve">  (iii) Stock Futures</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2,22,57,696</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2,22,34,125</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-0.1</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357</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921</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158.0</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sz w:val="20"/>
                <w:szCs w:val="20"/>
                <w:lang w:val="en-US"/>
              </w:rPr>
            </w:pPr>
            <w:r w:rsidRPr="00227721">
              <w:rPr>
                <w:rFonts w:ascii="Garamond" w:eastAsia="Times New Roman" w:hAnsi="Garamond"/>
                <w:sz w:val="20"/>
                <w:szCs w:val="20"/>
                <w:lang w:val="en-US"/>
              </w:rPr>
              <w:t>(iv) Options on Stock</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i/>
                <w:iCs/>
                <w:sz w:val="20"/>
                <w:szCs w:val="20"/>
                <w:lang w:val="en-US"/>
              </w:rPr>
            </w:pPr>
            <w:r w:rsidRPr="00227721">
              <w:rPr>
                <w:rFonts w:ascii="Garamond" w:eastAsia="Times New Roman" w:hAnsi="Garamond"/>
                <w:i/>
                <w:iCs/>
                <w:sz w:val="20"/>
                <w:szCs w:val="20"/>
                <w:lang w:val="en-US"/>
              </w:rPr>
              <w:t xml:space="preserve">            Put</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68,83,458</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66,29,230</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-3.7</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197</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NA</w:t>
            </w:r>
          </w:p>
        </w:tc>
      </w:tr>
      <w:tr w:rsidR="00227721" w:rsidRPr="00227721" w:rsidTr="00227721">
        <w:trPr>
          <w:trHeight w:val="217"/>
        </w:trPr>
        <w:tc>
          <w:tcPr>
            <w:tcW w:w="1999" w:type="dxa"/>
            <w:tcBorders>
              <w:top w:val="nil"/>
              <w:left w:val="single" w:sz="4" w:space="0" w:color="auto"/>
              <w:bottom w:val="single" w:sz="4" w:space="0" w:color="auto"/>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i/>
                <w:iCs/>
                <w:sz w:val="20"/>
                <w:szCs w:val="20"/>
                <w:lang w:val="en-US"/>
              </w:rPr>
            </w:pPr>
            <w:r w:rsidRPr="00227721">
              <w:rPr>
                <w:rFonts w:ascii="Garamond" w:eastAsia="Times New Roman" w:hAnsi="Garamond"/>
                <w:i/>
                <w:iCs/>
                <w:sz w:val="20"/>
                <w:szCs w:val="20"/>
                <w:lang w:val="en-US"/>
              </w:rPr>
              <w:t xml:space="preserve">          Call</w:t>
            </w:r>
          </w:p>
        </w:tc>
        <w:tc>
          <w:tcPr>
            <w:tcW w:w="1240" w:type="dxa"/>
            <w:tcBorders>
              <w:top w:val="nil"/>
              <w:left w:val="nil"/>
              <w:bottom w:val="single" w:sz="4" w:space="0" w:color="auto"/>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1,10,25,879</w:t>
            </w:r>
          </w:p>
        </w:tc>
        <w:tc>
          <w:tcPr>
            <w:tcW w:w="1226" w:type="dxa"/>
            <w:tcBorders>
              <w:top w:val="nil"/>
              <w:left w:val="nil"/>
              <w:bottom w:val="single" w:sz="4" w:space="0" w:color="auto"/>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1,09,44,617</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-0.7</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266</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NA</w:t>
            </w:r>
          </w:p>
        </w:tc>
      </w:tr>
      <w:tr w:rsidR="00227721" w:rsidRPr="00227721" w:rsidTr="00227721">
        <w:trPr>
          <w:trHeight w:val="217"/>
        </w:trPr>
        <w:tc>
          <w:tcPr>
            <w:tcW w:w="1999" w:type="dxa"/>
            <w:tcBorders>
              <w:top w:val="nil"/>
              <w:left w:val="single" w:sz="4" w:space="0" w:color="auto"/>
              <w:bottom w:val="single" w:sz="4" w:space="0" w:color="auto"/>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b/>
                <w:bCs/>
                <w:sz w:val="20"/>
                <w:szCs w:val="20"/>
                <w:lang w:val="en-US"/>
              </w:rPr>
            </w:pPr>
            <w:r w:rsidRPr="00227721">
              <w:rPr>
                <w:rFonts w:ascii="Garamond" w:eastAsia="Times New Roman" w:hAnsi="Garamond"/>
                <w:b/>
                <w:bCs/>
                <w:sz w:val="20"/>
                <w:szCs w:val="20"/>
                <w:lang w:val="en-US"/>
              </w:rPr>
              <w:t xml:space="preserve">         Total</w:t>
            </w:r>
          </w:p>
        </w:tc>
        <w:tc>
          <w:tcPr>
            <w:tcW w:w="1240" w:type="dxa"/>
            <w:tcBorders>
              <w:top w:val="nil"/>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47,66,02,889</w:t>
            </w:r>
          </w:p>
        </w:tc>
        <w:tc>
          <w:tcPr>
            <w:tcW w:w="1226" w:type="dxa"/>
            <w:tcBorders>
              <w:top w:val="nil"/>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44,89,20,318</w:t>
            </w:r>
          </w:p>
        </w:tc>
        <w:tc>
          <w:tcPr>
            <w:tcW w:w="1302" w:type="dxa"/>
            <w:tcBorders>
              <w:top w:val="single" w:sz="4" w:space="0" w:color="auto"/>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-5.8</w:t>
            </w:r>
          </w:p>
        </w:tc>
        <w:tc>
          <w:tcPr>
            <w:tcW w:w="1367" w:type="dxa"/>
            <w:tcBorders>
              <w:top w:val="single" w:sz="4" w:space="0" w:color="auto"/>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366</w:t>
            </w:r>
          </w:p>
        </w:tc>
        <w:tc>
          <w:tcPr>
            <w:tcW w:w="1367" w:type="dxa"/>
            <w:tcBorders>
              <w:top w:val="single" w:sz="4" w:space="0" w:color="auto"/>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4,267</w:t>
            </w:r>
          </w:p>
        </w:tc>
        <w:tc>
          <w:tcPr>
            <w:tcW w:w="1305" w:type="dxa"/>
            <w:tcBorders>
              <w:top w:val="single" w:sz="4" w:space="0" w:color="auto"/>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1,065.8</w:t>
            </w:r>
          </w:p>
        </w:tc>
      </w:tr>
      <w:tr w:rsidR="00227721" w:rsidRPr="00227721" w:rsidTr="00227721">
        <w:trPr>
          <w:trHeight w:val="217"/>
        </w:trPr>
        <w:tc>
          <w:tcPr>
            <w:tcW w:w="9809"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227721" w:rsidRPr="00227721" w:rsidRDefault="00227721" w:rsidP="00227721">
            <w:pPr>
              <w:rPr>
                <w:rFonts w:ascii="Garamond" w:eastAsia="Times New Roman" w:hAnsi="Garamond"/>
                <w:b/>
                <w:bCs/>
                <w:sz w:val="20"/>
                <w:szCs w:val="20"/>
                <w:lang w:val="en-US"/>
              </w:rPr>
            </w:pPr>
            <w:r w:rsidRPr="00227721">
              <w:rPr>
                <w:rFonts w:ascii="Garamond" w:eastAsia="Times New Roman" w:hAnsi="Garamond"/>
                <w:b/>
                <w:bCs/>
                <w:sz w:val="20"/>
                <w:szCs w:val="20"/>
                <w:lang w:val="en-US"/>
              </w:rPr>
              <w:t xml:space="preserve">C.  Open Interest in Terms of Value ( </w:t>
            </w:r>
            <w:r w:rsidR="006446D3" w:rsidRPr="006446D3">
              <w:rPr>
                <w:rFonts w:ascii="Rupee Foradian" w:eastAsia="Times New Roman" w:hAnsi="Rupee Foradian"/>
                <w:b/>
                <w:bCs/>
                <w:sz w:val="20"/>
                <w:szCs w:val="20"/>
                <w:lang w:val="en-US"/>
              </w:rPr>
              <w:t>`</w:t>
            </w:r>
            <w:r w:rsidRPr="00227721">
              <w:rPr>
                <w:rFonts w:ascii="Garamond" w:eastAsia="Times New Roman" w:hAnsi="Garamond"/>
                <w:b/>
                <w:bCs/>
                <w:sz w:val="20"/>
                <w:szCs w:val="20"/>
                <w:lang w:val="en-US"/>
              </w:rPr>
              <w:t xml:space="preserve"> crore)</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sz w:val="20"/>
                <w:szCs w:val="20"/>
                <w:lang w:val="en-US"/>
              </w:rPr>
            </w:pPr>
            <w:r w:rsidRPr="00227721">
              <w:rPr>
                <w:rFonts w:ascii="Garamond" w:eastAsia="Times New Roman" w:hAnsi="Garamond"/>
                <w:sz w:val="20"/>
                <w:szCs w:val="20"/>
                <w:lang w:val="en-US"/>
              </w:rPr>
              <w:t xml:space="preserve">   (i) Index  Futures</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24,119</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21,816</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-9.6</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NA</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sz w:val="20"/>
                <w:szCs w:val="20"/>
                <w:lang w:val="en-US"/>
              </w:rPr>
            </w:pPr>
            <w:r w:rsidRPr="00227721">
              <w:rPr>
                <w:rFonts w:ascii="Garamond" w:eastAsia="Times New Roman" w:hAnsi="Garamond"/>
                <w:sz w:val="20"/>
                <w:szCs w:val="20"/>
                <w:lang w:val="en-US"/>
              </w:rPr>
              <w:lastRenderedPageBreak/>
              <w:t xml:space="preserve">   (ii) Options on Index</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i/>
                <w:iCs/>
                <w:sz w:val="20"/>
                <w:szCs w:val="20"/>
                <w:lang w:val="en-US"/>
              </w:rPr>
            </w:pPr>
            <w:r w:rsidRPr="00227721">
              <w:rPr>
                <w:rFonts w:ascii="Garamond" w:eastAsia="Times New Roman" w:hAnsi="Garamond"/>
                <w:i/>
                <w:iCs/>
                <w:sz w:val="20"/>
                <w:szCs w:val="20"/>
                <w:lang w:val="en-US"/>
              </w:rPr>
              <w:t xml:space="preserve">            Put</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68,441</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71,009</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3.8</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NA</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i/>
                <w:iCs/>
                <w:sz w:val="20"/>
                <w:szCs w:val="20"/>
                <w:lang w:val="en-US"/>
              </w:rPr>
            </w:pPr>
            <w:r w:rsidRPr="00227721">
              <w:rPr>
                <w:rFonts w:ascii="Garamond" w:eastAsia="Times New Roman" w:hAnsi="Garamond"/>
                <w:i/>
                <w:iCs/>
                <w:sz w:val="20"/>
                <w:szCs w:val="20"/>
                <w:lang w:val="en-US"/>
              </w:rPr>
              <w:t xml:space="preserve">           Call</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57,404</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74,294</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29.4</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NA</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sz w:val="20"/>
                <w:szCs w:val="20"/>
                <w:lang w:val="en-US"/>
              </w:rPr>
            </w:pPr>
            <w:r w:rsidRPr="00227721">
              <w:rPr>
                <w:rFonts w:ascii="Garamond" w:eastAsia="Times New Roman" w:hAnsi="Garamond"/>
                <w:sz w:val="20"/>
                <w:szCs w:val="20"/>
                <w:lang w:val="en-US"/>
              </w:rPr>
              <w:t xml:space="preserve">  (iii) Stock Futures</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1,06,618</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1,12,872</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5.9</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2.8</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1.9</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-33.4</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sz w:val="20"/>
                <w:szCs w:val="20"/>
                <w:lang w:val="en-US"/>
              </w:rPr>
            </w:pPr>
            <w:r w:rsidRPr="00227721">
              <w:rPr>
                <w:rFonts w:ascii="Garamond" w:eastAsia="Times New Roman" w:hAnsi="Garamond"/>
                <w:sz w:val="20"/>
                <w:szCs w:val="20"/>
                <w:lang w:val="en-US"/>
              </w:rPr>
              <w:t>(iv) Options on Stock</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i/>
                <w:iCs/>
                <w:sz w:val="20"/>
                <w:szCs w:val="20"/>
                <w:lang w:val="en-US"/>
              </w:rPr>
            </w:pPr>
            <w:r w:rsidRPr="00227721">
              <w:rPr>
                <w:rFonts w:ascii="Garamond" w:eastAsia="Times New Roman" w:hAnsi="Garamond"/>
                <w:i/>
                <w:iCs/>
                <w:sz w:val="20"/>
                <w:szCs w:val="20"/>
                <w:lang w:val="en-US"/>
              </w:rPr>
              <w:t xml:space="preserve">            Put</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7,195</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8,024</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11.5</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0.1</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NA</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i/>
                <w:iCs/>
                <w:sz w:val="20"/>
                <w:szCs w:val="20"/>
                <w:lang w:val="en-US"/>
              </w:rPr>
            </w:pPr>
            <w:r w:rsidRPr="00227721">
              <w:rPr>
                <w:rFonts w:ascii="Garamond" w:eastAsia="Times New Roman" w:hAnsi="Garamond"/>
                <w:i/>
                <w:iCs/>
                <w:sz w:val="20"/>
                <w:szCs w:val="20"/>
                <w:lang w:val="en-US"/>
              </w:rPr>
              <w:t xml:space="preserve">          Call</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9,981</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12,563</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25.9</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0.0</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NA</w:t>
            </w:r>
          </w:p>
        </w:tc>
      </w:tr>
      <w:tr w:rsidR="00227721" w:rsidRPr="00227721" w:rsidTr="00227721">
        <w:trPr>
          <w:trHeight w:val="217"/>
        </w:trPr>
        <w:tc>
          <w:tcPr>
            <w:tcW w:w="1999"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b/>
                <w:bCs/>
                <w:sz w:val="20"/>
                <w:szCs w:val="20"/>
                <w:lang w:val="en-US"/>
              </w:rPr>
            </w:pPr>
            <w:r w:rsidRPr="00227721">
              <w:rPr>
                <w:rFonts w:ascii="Garamond" w:eastAsia="Times New Roman" w:hAnsi="Garamond"/>
                <w:b/>
                <w:bCs/>
                <w:sz w:val="20"/>
                <w:szCs w:val="20"/>
                <w:lang w:val="en-US"/>
              </w:rPr>
              <w:t xml:space="preserve">         Total</w:t>
            </w:r>
          </w:p>
        </w:tc>
        <w:tc>
          <w:tcPr>
            <w:tcW w:w="1240" w:type="dxa"/>
            <w:tcBorders>
              <w:top w:val="single" w:sz="4" w:space="0" w:color="auto"/>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2,73,758</w:t>
            </w:r>
          </w:p>
        </w:tc>
        <w:tc>
          <w:tcPr>
            <w:tcW w:w="1226" w:type="dxa"/>
            <w:tcBorders>
              <w:top w:val="single" w:sz="4" w:space="0" w:color="auto"/>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3,00,577</w:t>
            </w:r>
          </w:p>
        </w:tc>
        <w:tc>
          <w:tcPr>
            <w:tcW w:w="1302" w:type="dxa"/>
            <w:tcBorders>
              <w:top w:val="single" w:sz="4" w:space="0" w:color="auto"/>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9.8</w:t>
            </w:r>
          </w:p>
        </w:tc>
        <w:tc>
          <w:tcPr>
            <w:tcW w:w="1367" w:type="dxa"/>
            <w:tcBorders>
              <w:top w:val="single" w:sz="4" w:space="0" w:color="auto"/>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2.8</w:t>
            </w:r>
          </w:p>
        </w:tc>
        <w:tc>
          <w:tcPr>
            <w:tcW w:w="1367" w:type="dxa"/>
            <w:tcBorders>
              <w:top w:val="single" w:sz="4" w:space="0" w:color="auto"/>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4.4</w:t>
            </w:r>
          </w:p>
        </w:tc>
        <w:tc>
          <w:tcPr>
            <w:tcW w:w="1305" w:type="dxa"/>
            <w:tcBorders>
              <w:top w:val="single" w:sz="4" w:space="0" w:color="auto"/>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54.2</w:t>
            </w:r>
          </w:p>
        </w:tc>
      </w:tr>
      <w:tr w:rsidR="00227721" w:rsidRPr="00227721" w:rsidTr="00227721">
        <w:trPr>
          <w:trHeight w:val="217"/>
        </w:trPr>
        <w:tc>
          <w:tcPr>
            <w:tcW w:w="9809"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227721" w:rsidRPr="00227721" w:rsidRDefault="00227721" w:rsidP="00227721">
            <w:pPr>
              <w:rPr>
                <w:rFonts w:ascii="Garamond" w:eastAsia="Times New Roman" w:hAnsi="Garamond"/>
                <w:b/>
                <w:bCs/>
                <w:sz w:val="20"/>
                <w:szCs w:val="20"/>
                <w:lang w:val="en-US"/>
              </w:rPr>
            </w:pPr>
            <w:r w:rsidRPr="00227721">
              <w:rPr>
                <w:rFonts w:ascii="Garamond" w:eastAsia="Times New Roman" w:hAnsi="Garamond"/>
                <w:b/>
                <w:bCs/>
                <w:sz w:val="20"/>
                <w:szCs w:val="20"/>
                <w:lang w:val="en-US"/>
              </w:rPr>
              <w:t>D.  Open Interest in Terms of No of Contracts</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sz w:val="20"/>
                <w:szCs w:val="20"/>
                <w:lang w:val="en-US"/>
              </w:rPr>
            </w:pPr>
            <w:r w:rsidRPr="00227721">
              <w:rPr>
                <w:rFonts w:ascii="Garamond" w:eastAsia="Times New Roman" w:hAnsi="Garamond"/>
                <w:sz w:val="20"/>
                <w:szCs w:val="20"/>
                <w:lang w:val="en-US"/>
              </w:rPr>
              <w:t xml:space="preserve">   (i) Index  Futures</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3,16,635</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2,75,775</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-12.9</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24</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NA</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sz w:val="20"/>
                <w:szCs w:val="20"/>
                <w:lang w:val="en-US"/>
              </w:rPr>
            </w:pPr>
            <w:r w:rsidRPr="00227721">
              <w:rPr>
                <w:rFonts w:ascii="Garamond" w:eastAsia="Times New Roman" w:hAnsi="Garamond"/>
                <w:sz w:val="20"/>
                <w:szCs w:val="20"/>
                <w:lang w:val="en-US"/>
              </w:rPr>
              <w:t xml:space="preserve">   (ii) Options on Index</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i/>
                <w:iCs/>
                <w:sz w:val="20"/>
                <w:szCs w:val="20"/>
                <w:lang w:val="en-US"/>
              </w:rPr>
            </w:pPr>
            <w:r w:rsidRPr="00227721">
              <w:rPr>
                <w:rFonts w:ascii="Garamond" w:eastAsia="Times New Roman" w:hAnsi="Garamond"/>
                <w:i/>
                <w:iCs/>
                <w:sz w:val="20"/>
                <w:szCs w:val="20"/>
                <w:lang w:val="en-US"/>
              </w:rPr>
              <w:t xml:space="preserve">            Put</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8,99,271</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9,10,048</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1.2</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NA</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i/>
                <w:iCs/>
                <w:sz w:val="20"/>
                <w:szCs w:val="20"/>
                <w:lang w:val="en-US"/>
              </w:rPr>
            </w:pPr>
            <w:r w:rsidRPr="00227721">
              <w:rPr>
                <w:rFonts w:ascii="Garamond" w:eastAsia="Times New Roman" w:hAnsi="Garamond"/>
                <w:i/>
                <w:iCs/>
                <w:sz w:val="20"/>
                <w:szCs w:val="20"/>
                <w:lang w:val="en-US"/>
              </w:rPr>
              <w:t xml:space="preserve">           Call</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7,93,381</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9,98,177</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25.8</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NA</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sz w:val="20"/>
                <w:szCs w:val="20"/>
                <w:lang w:val="en-US"/>
              </w:rPr>
            </w:pPr>
            <w:r w:rsidRPr="00227721">
              <w:rPr>
                <w:rFonts w:ascii="Garamond" w:eastAsia="Times New Roman" w:hAnsi="Garamond"/>
                <w:sz w:val="20"/>
                <w:szCs w:val="20"/>
                <w:lang w:val="en-US"/>
              </w:rPr>
              <w:t xml:space="preserve">  (iii) Stock Futures</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18,60,658</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19,25,242</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3.5</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49</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31</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-36.7</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sz w:val="20"/>
                <w:szCs w:val="20"/>
                <w:lang w:val="en-US"/>
              </w:rPr>
            </w:pPr>
            <w:r w:rsidRPr="00227721">
              <w:rPr>
                <w:rFonts w:ascii="Garamond" w:eastAsia="Times New Roman" w:hAnsi="Garamond"/>
                <w:sz w:val="20"/>
                <w:szCs w:val="20"/>
                <w:lang w:val="en-US"/>
              </w:rPr>
              <w:t>(iv) Options on Stock</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 </w:t>
            </w:r>
          </w:p>
        </w:tc>
      </w:tr>
      <w:tr w:rsidR="00227721" w:rsidRPr="00227721" w:rsidTr="00227721">
        <w:trPr>
          <w:trHeight w:val="217"/>
        </w:trPr>
        <w:tc>
          <w:tcPr>
            <w:tcW w:w="1999" w:type="dxa"/>
            <w:tcBorders>
              <w:top w:val="nil"/>
              <w:left w:val="single" w:sz="4" w:space="0" w:color="auto"/>
              <w:bottom w:val="nil"/>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i/>
                <w:iCs/>
                <w:sz w:val="20"/>
                <w:szCs w:val="20"/>
                <w:lang w:val="en-US"/>
              </w:rPr>
            </w:pPr>
            <w:r w:rsidRPr="00227721">
              <w:rPr>
                <w:rFonts w:ascii="Garamond" w:eastAsia="Times New Roman" w:hAnsi="Garamond"/>
                <w:i/>
                <w:iCs/>
                <w:sz w:val="20"/>
                <w:szCs w:val="20"/>
                <w:lang w:val="en-US"/>
              </w:rPr>
              <w:t xml:space="preserve">            Put</w:t>
            </w:r>
          </w:p>
        </w:tc>
        <w:tc>
          <w:tcPr>
            <w:tcW w:w="1240"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1,36,086</w:t>
            </w:r>
          </w:p>
        </w:tc>
        <w:tc>
          <w:tcPr>
            <w:tcW w:w="1226"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1,48,158</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8.9</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67"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NA</w:t>
            </w:r>
          </w:p>
        </w:tc>
      </w:tr>
      <w:tr w:rsidR="00227721" w:rsidRPr="00227721" w:rsidTr="00227721">
        <w:trPr>
          <w:trHeight w:val="217"/>
        </w:trPr>
        <w:tc>
          <w:tcPr>
            <w:tcW w:w="1999" w:type="dxa"/>
            <w:tcBorders>
              <w:top w:val="nil"/>
              <w:left w:val="single" w:sz="4" w:space="0" w:color="auto"/>
              <w:bottom w:val="single" w:sz="4" w:space="0" w:color="auto"/>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i/>
                <w:iCs/>
                <w:sz w:val="20"/>
                <w:szCs w:val="20"/>
                <w:lang w:val="en-US"/>
              </w:rPr>
            </w:pPr>
            <w:r w:rsidRPr="00227721">
              <w:rPr>
                <w:rFonts w:ascii="Garamond" w:eastAsia="Times New Roman" w:hAnsi="Garamond"/>
                <w:i/>
                <w:iCs/>
                <w:sz w:val="20"/>
                <w:szCs w:val="20"/>
                <w:lang w:val="en-US"/>
              </w:rPr>
              <w:t xml:space="preserve">          Call</w:t>
            </w:r>
          </w:p>
        </w:tc>
        <w:tc>
          <w:tcPr>
            <w:tcW w:w="1240" w:type="dxa"/>
            <w:tcBorders>
              <w:top w:val="nil"/>
              <w:left w:val="nil"/>
              <w:bottom w:val="single" w:sz="4" w:space="0" w:color="auto"/>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1,86,570</w:t>
            </w:r>
          </w:p>
        </w:tc>
        <w:tc>
          <w:tcPr>
            <w:tcW w:w="1226" w:type="dxa"/>
            <w:tcBorders>
              <w:top w:val="nil"/>
              <w:left w:val="nil"/>
              <w:bottom w:val="single" w:sz="4" w:space="0" w:color="auto"/>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2,36,769</w:t>
            </w:r>
          </w:p>
        </w:tc>
        <w:tc>
          <w:tcPr>
            <w:tcW w:w="1302" w:type="dxa"/>
            <w:tcBorders>
              <w:top w:val="nil"/>
              <w:left w:val="nil"/>
              <w:bottom w:val="nil"/>
              <w:right w:val="single" w:sz="4" w:space="0" w:color="auto"/>
            </w:tcBorders>
            <w:shd w:val="clear" w:color="000000" w:fill="F2F2F2"/>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26.9</w:t>
            </w:r>
          </w:p>
        </w:tc>
        <w:tc>
          <w:tcPr>
            <w:tcW w:w="1367" w:type="dxa"/>
            <w:tcBorders>
              <w:top w:val="nil"/>
              <w:left w:val="nil"/>
              <w:bottom w:val="single" w:sz="4" w:space="0" w:color="auto"/>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67" w:type="dxa"/>
            <w:tcBorders>
              <w:top w:val="nil"/>
              <w:left w:val="nil"/>
              <w:bottom w:val="single" w:sz="4" w:space="0" w:color="auto"/>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0</w:t>
            </w:r>
          </w:p>
        </w:tc>
        <w:tc>
          <w:tcPr>
            <w:tcW w:w="1305" w:type="dxa"/>
            <w:tcBorders>
              <w:top w:val="nil"/>
              <w:left w:val="nil"/>
              <w:bottom w:val="nil"/>
              <w:right w:val="single" w:sz="4" w:space="0" w:color="auto"/>
            </w:tcBorders>
            <w:shd w:val="clear" w:color="auto" w:fill="auto"/>
            <w:noWrap/>
            <w:vAlign w:val="center"/>
            <w:hideMark/>
          </w:tcPr>
          <w:p w:rsidR="00227721" w:rsidRPr="00227721" w:rsidRDefault="00227721" w:rsidP="00227721">
            <w:pPr>
              <w:jc w:val="right"/>
              <w:rPr>
                <w:rFonts w:ascii="Garamond" w:eastAsia="Times New Roman" w:hAnsi="Garamond"/>
                <w:sz w:val="20"/>
                <w:szCs w:val="20"/>
                <w:lang w:val="en-US"/>
              </w:rPr>
            </w:pPr>
            <w:r w:rsidRPr="00227721">
              <w:rPr>
                <w:rFonts w:ascii="Garamond" w:eastAsia="Times New Roman" w:hAnsi="Garamond"/>
                <w:sz w:val="20"/>
                <w:szCs w:val="20"/>
                <w:lang w:val="en-US"/>
              </w:rPr>
              <w:t>NA</w:t>
            </w:r>
          </w:p>
        </w:tc>
      </w:tr>
      <w:tr w:rsidR="00227721" w:rsidRPr="00227721" w:rsidTr="00227721">
        <w:trPr>
          <w:trHeight w:val="217"/>
        </w:trPr>
        <w:tc>
          <w:tcPr>
            <w:tcW w:w="1999" w:type="dxa"/>
            <w:tcBorders>
              <w:top w:val="nil"/>
              <w:left w:val="single" w:sz="4" w:space="0" w:color="auto"/>
              <w:bottom w:val="single" w:sz="4" w:space="0" w:color="auto"/>
              <w:right w:val="single" w:sz="4" w:space="0" w:color="auto"/>
            </w:tcBorders>
            <w:shd w:val="clear" w:color="000000" w:fill="C5D9F1"/>
            <w:noWrap/>
            <w:vAlign w:val="center"/>
            <w:hideMark/>
          </w:tcPr>
          <w:p w:rsidR="00227721" w:rsidRPr="00227721" w:rsidRDefault="00227721" w:rsidP="00227721">
            <w:pPr>
              <w:rPr>
                <w:rFonts w:ascii="Garamond" w:eastAsia="Times New Roman" w:hAnsi="Garamond"/>
                <w:b/>
                <w:bCs/>
                <w:sz w:val="20"/>
                <w:szCs w:val="20"/>
                <w:lang w:val="en-US"/>
              </w:rPr>
            </w:pPr>
            <w:r w:rsidRPr="00227721">
              <w:rPr>
                <w:rFonts w:ascii="Garamond" w:eastAsia="Times New Roman" w:hAnsi="Garamond"/>
                <w:b/>
                <w:bCs/>
                <w:sz w:val="20"/>
                <w:szCs w:val="20"/>
                <w:lang w:val="en-US"/>
              </w:rPr>
              <w:t xml:space="preserve">         Total</w:t>
            </w:r>
          </w:p>
        </w:tc>
        <w:tc>
          <w:tcPr>
            <w:tcW w:w="1240" w:type="dxa"/>
            <w:tcBorders>
              <w:top w:val="nil"/>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41,92,601</w:t>
            </w:r>
          </w:p>
        </w:tc>
        <w:tc>
          <w:tcPr>
            <w:tcW w:w="1226" w:type="dxa"/>
            <w:tcBorders>
              <w:top w:val="nil"/>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44,94,169</w:t>
            </w:r>
          </w:p>
        </w:tc>
        <w:tc>
          <w:tcPr>
            <w:tcW w:w="1302" w:type="dxa"/>
            <w:tcBorders>
              <w:top w:val="single" w:sz="4" w:space="0" w:color="auto"/>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7.2</w:t>
            </w:r>
          </w:p>
        </w:tc>
        <w:tc>
          <w:tcPr>
            <w:tcW w:w="1367" w:type="dxa"/>
            <w:tcBorders>
              <w:top w:val="nil"/>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49</w:t>
            </w:r>
          </w:p>
        </w:tc>
        <w:tc>
          <w:tcPr>
            <w:tcW w:w="1367" w:type="dxa"/>
            <w:tcBorders>
              <w:top w:val="nil"/>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57</w:t>
            </w:r>
          </w:p>
        </w:tc>
        <w:tc>
          <w:tcPr>
            <w:tcW w:w="1305" w:type="dxa"/>
            <w:tcBorders>
              <w:top w:val="single" w:sz="4" w:space="0" w:color="auto"/>
              <w:left w:val="nil"/>
              <w:bottom w:val="single" w:sz="4" w:space="0" w:color="auto"/>
              <w:right w:val="single" w:sz="4" w:space="0" w:color="auto"/>
            </w:tcBorders>
            <w:shd w:val="clear" w:color="000000" w:fill="C5D9F1"/>
            <w:noWrap/>
            <w:vAlign w:val="center"/>
            <w:hideMark/>
          </w:tcPr>
          <w:p w:rsidR="00227721" w:rsidRPr="00227721" w:rsidRDefault="00227721" w:rsidP="00227721">
            <w:pPr>
              <w:jc w:val="right"/>
              <w:rPr>
                <w:rFonts w:ascii="Garamond" w:eastAsia="Times New Roman" w:hAnsi="Garamond"/>
                <w:b/>
                <w:bCs/>
                <w:sz w:val="20"/>
                <w:szCs w:val="20"/>
                <w:lang w:val="en-US"/>
              </w:rPr>
            </w:pPr>
            <w:r w:rsidRPr="00227721">
              <w:rPr>
                <w:rFonts w:ascii="Garamond" w:eastAsia="Times New Roman" w:hAnsi="Garamond"/>
                <w:b/>
                <w:bCs/>
                <w:sz w:val="20"/>
                <w:szCs w:val="20"/>
                <w:lang w:val="en-US"/>
              </w:rPr>
              <w:t>16.3</w:t>
            </w:r>
          </w:p>
        </w:tc>
      </w:tr>
    </w:tbl>
    <w:p w:rsidR="00CA4F9B" w:rsidRPr="009A0EB3" w:rsidRDefault="00CA4F9B" w:rsidP="00CA4F9B">
      <w:pPr>
        <w:tabs>
          <w:tab w:val="left" w:pos="3135"/>
        </w:tabs>
        <w:rPr>
          <w:rFonts w:ascii="Palatino Linotype" w:hAnsi="Palatino Linotype"/>
          <w:b/>
          <w:sz w:val="18"/>
          <w:szCs w:val="18"/>
        </w:rPr>
      </w:pPr>
      <w:r w:rsidRPr="009A0EB3">
        <w:rPr>
          <w:rFonts w:ascii="Palatino Linotype" w:hAnsi="Palatino Linotype"/>
          <w:b/>
          <w:sz w:val="18"/>
          <w:szCs w:val="18"/>
        </w:rPr>
        <w:t>Source: NSE and BSE</w:t>
      </w:r>
    </w:p>
    <w:p w:rsidR="0032036A" w:rsidRDefault="0032036A" w:rsidP="0032036A">
      <w:pPr>
        <w:jc w:val="both"/>
        <w:rPr>
          <w:rFonts w:ascii="Palatino Linotype" w:eastAsia="Times New Roman" w:hAnsi="Palatino Linotype"/>
          <w:sz w:val="22"/>
          <w:szCs w:val="22"/>
          <w:highlight w:val="yellow"/>
        </w:rPr>
      </w:pPr>
    </w:p>
    <w:p w:rsidR="00BA2435" w:rsidRPr="009A0EB3" w:rsidRDefault="00BA2435" w:rsidP="0032036A">
      <w:pPr>
        <w:jc w:val="both"/>
        <w:rPr>
          <w:rFonts w:ascii="Palatino Linotype" w:eastAsia="Times New Roman" w:hAnsi="Palatino Linotype"/>
          <w:sz w:val="22"/>
          <w:szCs w:val="22"/>
          <w:highlight w:val="yellow"/>
        </w:rPr>
      </w:pPr>
    </w:p>
    <w:p w:rsidR="003E5A8A" w:rsidRPr="005B5BF1" w:rsidRDefault="0032036A" w:rsidP="002E627C">
      <w:pPr>
        <w:pStyle w:val="ListParagraph"/>
        <w:numPr>
          <w:ilvl w:val="0"/>
          <w:numId w:val="8"/>
        </w:numPr>
        <w:jc w:val="both"/>
        <w:rPr>
          <w:rFonts w:ascii="Palatino Linotype" w:eastAsia="Times New Roman" w:hAnsi="Palatino Linotype"/>
          <w:color w:val="000000" w:themeColor="text1"/>
          <w:sz w:val="22"/>
          <w:szCs w:val="22"/>
        </w:rPr>
      </w:pPr>
      <w:r w:rsidRPr="005B5BF1">
        <w:rPr>
          <w:rFonts w:ascii="Palatino Linotype" w:eastAsia="Times New Roman" w:hAnsi="Palatino Linotype"/>
          <w:color w:val="000000" w:themeColor="text1"/>
          <w:sz w:val="22"/>
          <w:szCs w:val="22"/>
        </w:rPr>
        <w:t xml:space="preserve">Among the three exchanges in the equity derivative market ecosystem, viz., NSE, BSE and MSEI, NSE </w:t>
      </w:r>
      <w:r w:rsidR="003E5A8A" w:rsidRPr="005B5BF1">
        <w:rPr>
          <w:rFonts w:ascii="Palatino Linotype" w:eastAsia="Times New Roman" w:hAnsi="Palatino Linotype"/>
          <w:color w:val="000000" w:themeColor="text1"/>
          <w:sz w:val="22"/>
          <w:szCs w:val="22"/>
        </w:rPr>
        <w:t>has</w:t>
      </w:r>
      <w:r w:rsidRPr="005B5BF1">
        <w:rPr>
          <w:rFonts w:ascii="Palatino Linotype" w:eastAsia="Times New Roman" w:hAnsi="Palatino Linotype"/>
          <w:color w:val="000000" w:themeColor="text1"/>
          <w:sz w:val="22"/>
          <w:szCs w:val="22"/>
        </w:rPr>
        <w:t xml:space="preserve"> a market share of almost 100 per cent</w:t>
      </w:r>
      <w:r w:rsidR="003E5A8A" w:rsidRPr="005B5BF1">
        <w:rPr>
          <w:rFonts w:ascii="Palatino Linotype" w:eastAsia="Times New Roman" w:hAnsi="Palatino Linotype"/>
          <w:color w:val="000000" w:themeColor="text1"/>
          <w:sz w:val="22"/>
          <w:szCs w:val="22"/>
        </w:rPr>
        <w:t xml:space="preserve"> </w:t>
      </w:r>
      <w:r w:rsidR="00596E5C">
        <w:rPr>
          <w:rFonts w:ascii="Palatino Linotype" w:eastAsia="Times New Roman" w:hAnsi="Palatino Linotype"/>
          <w:color w:val="000000" w:themeColor="text1"/>
          <w:sz w:val="22"/>
          <w:szCs w:val="22"/>
        </w:rPr>
        <w:t xml:space="preserve">and </w:t>
      </w:r>
      <w:r w:rsidR="002E627C" w:rsidRPr="002E627C">
        <w:rPr>
          <w:rFonts w:ascii="Palatino Linotype" w:eastAsia="Times New Roman" w:hAnsi="Palatino Linotype"/>
          <w:color w:val="000000" w:themeColor="text1"/>
          <w:sz w:val="22"/>
          <w:szCs w:val="22"/>
        </w:rPr>
        <w:t xml:space="preserve">BSE registered an insignificant volumes however, </w:t>
      </w:r>
      <w:r w:rsidR="00596E5C">
        <w:rPr>
          <w:rFonts w:ascii="Palatino Linotype" w:eastAsia="Times New Roman" w:hAnsi="Palatino Linotype"/>
          <w:color w:val="000000" w:themeColor="text1"/>
          <w:sz w:val="22"/>
          <w:szCs w:val="22"/>
        </w:rPr>
        <w:t xml:space="preserve">MSEI has no trading </w:t>
      </w:r>
      <w:r w:rsidR="003E5A8A" w:rsidRPr="005B5BF1">
        <w:rPr>
          <w:rFonts w:ascii="Palatino Linotype" w:eastAsia="Times New Roman" w:hAnsi="Palatino Linotype"/>
          <w:color w:val="000000" w:themeColor="text1"/>
          <w:sz w:val="22"/>
          <w:szCs w:val="22"/>
        </w:rPr>
        <w:t xml:space="preserve">during </w:t>
      </w:r>
      <w:r w:rsidR="00E41BE8">
        <w:rPr>
          <w:rFonts w:ascii="Palatino Linotype" w:eastAsia="Times New Roman" w:hAnsi="Palatino Linotype"/>
          <w:color w:val="000000" w:themeColor="text1"/>
          <w:sz w:val="22"/>
          <w:szCs w:val="22"/>
        </w:rPr>
        <w:t>September</w:t>
      </w:r>
      <w:r w:rsidR="003E5A8A" w:rsidRPr="005B5BF1">
        <w:rPr>
          <w:rFonts w:ascii="Palatino Linotype" w:eastAsia="Times New Roman" w:hAnsi="Palatino Linotype"/>
          <w:color w:val="000000" w:themeColor="text1"/>
          <w:sz w:val="22"/>
          <w:szCs w:val="22"/>
        </w:rPr>
        <w:t xml:space="preserve"> 2019</w:t>
      </w:r>
      <w:r w:rsidRPr="005B5BF1">
        <w:rPr>
          <w:rFonts w:ascii="Palatino Linotype" w:eastAsia="Times New Roman" w:hAnsi="Palatino Linotype"/>
          <w:color w:val="000000" w:themeColor="text1"/>
          <w:sz w:val="22"/>
          <w:szCs w:val="22"/>
        </w:rPr>
        <w:t>.</w:t>
      </w:r>
    </w:p>
    <w:p w:rsidR="003E5A8A" w:rsidRPr="005B5BF1" w:rsidRDefault="0032036A" w:rsidP="008E660D">
      <w:pPr>
        <w:pStyle w:val="ListParagraph"/>
        <w:numPr>
          <w:ilvl w:val="0"/>
          <w:numId w:val="8"/>
        </w:numPr>
        <w:jc w:val="both"/>
        <w:rPr>
          <w:rFonts w:ascii="Palatino Linotype" w:eastAsia="Times New Roman" w:hAnsi="Palatino Linotype"/>
          <w:color w:val="000000" w:themeColor="text1"/>
          <w:sz w:val="22"/>
          <w:szCs w:val="22"/>
        </w:rPr>
      </w:pPr>
      <w:r w:rsidRPr="005B5BF1">
        <w:rPr>
          <w:rFonts w:ascii="Palatino Linotype" w:eastAsia="Times New Roman" w:hAnsi="Palatino Linotype"/>
          <w:color w:val="000000" w:themeColor="text1"/>
          <w:sz w:val="22"/>
          <w:szCs w:val="22"/>
        </w:rPr>
        <w:t xml:space="preserve">The notional monthly turnover in the equity derivatives segment of NSE </w:t>
      </w:r>
      <w:r w:rsidR="003E5A8A" w:rsidRPr="005B5BF1">
        <w:rPr>
          <w:rFonts w:ascii="Palatino Linotype" w:eastAsia="Times New Roman" w:hAnsi="Palatino Linotype"/>
          <w:color w:val="000000" w:themeColor="text1"/>
          <w:sz w:val="22"/>
          <w:szCs w:val="22"/>
        </w:rPr>
        <w:t>in</w:t>
      </w:r>
      <w:r w:rsidRPr="005B5BF1">
        <w:rPr>
          <w:rFonts w:ascii="Palatino Linotype" w:eastAsia="Times New Roman" w:hAnsi="Palatino Linotype"/>
          <w:color w:val="000000" w:themeColor="text1"/>
          <w:sz w:val="22"/>
          <w:szCs w:val="22"/>
        </w:rPr>
        <w:t xml:space="preserve">creased by </w:t>
      </w:r>
      <w:r w:rsidR="006346B2">
        <w:rPr>
          <w:rFonts w:ascii="Palatino Linotype" w:eastAsia="Times New Roman" w:hAnsi="Palatino Linotype"/>
          <w:color w:val="000000" w:themeColor="text1"/>
          <w:sz w:val="22"/>
          <w:szCs w:val="22"/>
        </w:rPr>
        <w:t>5.1</w:t>
      </w:r>
      <w:r w:rsidRPr="005B5BF1">
        <w:rPr>
          <w:rFonts w:ascii="Palatino Linotype" w:eastAsia="Times New Roman" w:hAnsi="Palatino Linotype"/>
          <w:color w:val="000000" w:themeColor="text1"/>
          <w:sz w:val="22"/>
          <w:szCs w:val="22"/>
        </w:rPr>
        <w:t xml:space="preserve"> per cent from </w:t>
      </w:r>
      <w:r w:rsidR="006446D3" w:rsidRPr="006446D3">
        <w:rPr>
          <w:rFonts w:ascii="Rupee Foradian" w:eastAsia="Times New Roman" w:hAnsi="Rupee Foradian"/>
          <w:b/>
          <w:color w:val="000000" w:themeColor="text1"/>
          <w:szCs w:val="22"/>
        </w:rPr>
        <w:t>`</w:t>
      </w:r>
      <w:r w:rsidR="005678B7" w:rsidRPr="005B5BF1">
        <w:rPr>
          <w:rFonts w:ascii="Palatino Linotype" w:eastAsia="Times New Roman" w:hAnsi="Palatino Linotype"/>
          <w:color w:val="000000" w:themeColor="text1"/>
          <w:sz w:val="22"/>
          <w:szCs w:val="22"/>
        </w:rPr>
        <w:t xml:space="preserve"> </w:t>
      </w:r>
      <w:r w:rsidR="006346B2">
        <w:rPr>
          <w:rFonts w:ascii="Palatino Linotype" w:eastAsia="Times New Roman" w:hAnsi="Palatino Linotype"/>
          <w:color w:val="000000" w:themeColor="text1"/>
          <w:sz w:val="22"/>
          <w:szCs w:val="22"/>
        </w:rPr>
        <w:t>304.8</w:t>
      </w:r>
      <w:r w:rsidR="003E5A8A" w:rsidRPr="005B5BF1">
        <w:rPr>
          <w:rFonts w:ascii="Palatino Linotype" w:eastAsia="Times New Roman" w:hAnsi="Palatino Linotype"/>
          <w:color w:val="000000" w:themeColor="text1"/>
          <w:sz w:val="22"/>
          <w:szCs w:val="22"/>
        </w:rPr>
        <w:t xml:space="preserve"> lakh crore in </w:t>
      </w:r>
      <w:r w:rsidR="006346B2">
        <w:rPr>
          <w:rFonts w:ascii="Palatino Linotype" w:eastAsia="Times New Roman" w:hAnsi="Palatino Linotype"/>
          <w:color w:val="000000" w:themeColor="text1"/>
          <w:sz w:val="22"/>
          <w:szCs w:val="22"/>
        </w:rPr>
        <w:t>August 2019</w:t>
      </w:r>
      <w:r w:rsidR="005678B7" w:rsidRPr="005B5BF1">
        <w:rPr>
          <w:rFonts w:ascii="Palatino Linotype" w:eastAsia="Times New Roman" w:hAnsi="Palatino Linotype"/>
          <w:color w:val="000000" w:themeColor="text1"/>
          <w:sz w:val="22"/>
          <w:szCs w:val="22"/>
        </w:rPr>
        <w:t xml:space="preserve"> to </w:t>
      </w:r>
      <w:r w:rsidR="006446D3" w:rsidRPr="006446D3">
        <w:rPr>
          <w:rFonts w:ascii="Rupee Foradian" w:eastAsia="Times New Roman" w:hAnsi="Rupee Foradian"/>
          <w:b/>
          <w:color w:val="000000" w:themeColor="text1"/>
          <w:szCs w:val="22"/>
        </w:rPr>
        <w:t>`</w:t>
      </w:r>
      <w:r w:rsidR="005678B7" w:rsidRPr="005B5BF1">
        <w:rPr>
          <w:rFonts w:ascii="Palatino Linotype" w:eastAsia="Times New Roman" w:hAnsi="Palatino Linotype"/>
          <w:color w:val="000000" w:themeColor="text1"/>
          <w:sz w:val="22"/>
          <w:szCs w:val="22"/>
        </w:rPr>
        <w:t xml:space="preserve"> </w:t>
      </w:r>
      <w:r w:rsidR="006346B2">
        <w:rPr>
          <w:rFonts w:ascii="Palatino Linotype" w:eastAsia="Times New Roman" w:hAnsi="Palatino Linotype"/>
          <w:color w:val="000000" w:themeColor="text1"/>
          <w:sz w:val="22"/>
          <w:szCs w:val="22"/>
        </w:rPr>
        <w:t>289.2</w:t>
      </w:r>
      <w:r w:rsidR="005678B7" w:rsidRPr="005B5BF1">
        <w:rPr>
          <w:rFonts w:ascii="Palatino Linotype" w:eastAsia="Times New Roman" w:hAnsi="Palatino Linotype"/>
          <w:color w:val="000000" w:themeColor="text1"/>
          <w:sz w:val="22"/>
          <w:szCs w:val="22"/>
        </w:rPr>
        <w:t xml:space="preserve"> lakh crore in </w:t>
      </w:r>
      <w:r w:rsidR="006346B2">
        <w:rPr>
          <w:rFonts w:ascii="Palatino Linotype" w:eastAsia="Times New Roman" w:hAnsi="Palatino Linotype"/>
          <w:color w:val="000000" w:themeColor="text1"/>
          <w:sz w:val="22"/>
          <w:szCs w:val="22"/>
        </w:rPr>
        <w:t>September</w:t>
      </w:r>
      <w:r w:rsidR="00D86166" w:rsidRPr="005B5BF1">
        <w:rPr>
          <w:rFonts w:ascii="Palatino Linotype" w:eastAsia="Times New Roman" w:hAnsi="Palatino Linotype"/>
          <w:color w:val="000000" w:themeColor="text1"/>
          <w:sz w:val="22"/>
          <w:szCs w:val="22"/>
        </w:rPr>
        <w:t xml:space="preserve"> </w:t>
      </w:r>
      <w:r w:rsidR="005678B7" w:rsidRPr="005B5BF1">
        <w:rPr>
          <w:rFonts w:ascii="Palatino Linotype" w:eastAsia="Times New Roman" w:hAnsi="Palatino Linotype"/>
          <w:color w:val="000000" w:themeColor="text1"/>
          <w:sz w:val="22"/>
          <w:szCs w:val="22"/>
        </w:rPr>
        <w:t>2019</w:t>
      </w:r>
      <w:r w:rsidRPr="005B5BF1">
        <w:rPr>
          <w:rFonts w:ascii="Palatino Linotype" w:eastAsia="Times New Roman" w:hAnsi="Palatino Linotype"/>
          <w:color w:val="000000" w:themeColor="text1"/>
          <w:sz w:val="22"/>
          <w:szCs w:val="22"/>
        </w:rPr>
        <w:t>.</w:t>
      </w:r>
    </w:p>
    <w:p w:rsidR="003E5A8A" w:rsidRPr="005B5BF1" w:rsidRDefault="0032036A" w:rsidP="008E660D">
      <w:pPr>
        <w:pStyle w:val="ListParagraph"/>
        <w:numPr>
          <w:ilvl w:val="0"/>
          <w:numId w:val="8"/>
        </w:numPr>
        <w:jc w:val="both"/>
        <w:rPr>
          <w:rFonts w:ascii="Palatino Linotype" w:eastAsia="Times New Roman" w:hAnsi="Palatino Linotype" w:cs="Garamond"/>
          <w:color w:val="000000" w:themeColor="text1"/>
          <w:sz w:val="22"/>
          <w:szCs w:val="22"/>
        </w:rPr>
      </w:pPr>
      <w:r w:rsidRPr="005B5BF1">
        <w:rPr>
          <w:rFonts w:ascii="Palatino Linotype" w:eastAsia="Times New Roman" w:hAnsi="Palatino Linotype" w:cs="Garamond"/>
          <w:color w:val="000000" w:themeColor="text1"/>
          <w:sz w:val="22"/>
          <w:szCs w:val="22"/>
        </w:rPr>
        <w:t xml:space="preserve">Index options accounted for </w:t>
      </w:r>
      <w:r w:rsidR="006346B2">
        <w:rPr>
          <w:rFonts w:ascii="Palatino Linotype" w:eastAsia="Times New Roman" w:hAnsi="Palatino Linotype" w:cs="Garamond"/>
          <w:color w:val="000000" w:themeColor="text1"/>
          <w:sz w:val="22"/>
          <w:szCs w:val="22"/>
        </w:rPr>
        <w:t>89.9</w:t>
      </w:r>
      <w:r w:rsidRPr="005B5BF1">
        <w:rPr>
          <w:rFonts w:ascii="Palatino Linotype" w:eastAsia="Times New Roman" w:hAnsi="Palatino Linotype" w:cs="Garamond"/>
          <w:color w:val="000000" w:themeColor="text1"/>
          <w:sz w:val="22"/>
          <w:szCs w:val="22"/>
        </w:rPr>
        <w:t xml:space="preserve"> per cent of the total notional turnover in the F&amp;O </w:t>
      </w:r>
      <w:r w:rsidR="003E5A8A" w:rsidRPr="005B5BF1">
        <w:rPr>
          <w:rFonts w:ascii="Palatino Linotype" w:eastAsia="Times New Roman" w:hAnsi="Palatino Linotype" w:cs="Garamond"/>
          <w:color w:val="000000" w:themeColor="text1"/>
          <w:sz w:val="22"/>
          <w:szCs w:val="22"/>
        </w:rPr>
        <w:t xml:space="preserve">segment of NSE during the month compared to </w:t>
      </w:r>
      <w:r w:rsidR="006346B2" w:rsidRPr="005B5BF1">
        <w:rPr>
          <w:rFonts w:ascii="Palatino Linotype" w:eastAsia="Times New Roman" w:hAnsi="Palatino Linotype" w:cs="Garamond"/>
          <w:color w:val="000000" w:themeColor="text1"/>
          <w:sz w:val="22"/>
          <w:szCs w:val="22"/>
        </w:rPr>
        <w:t>90.7</w:t>
      </w:r>
      <w:r w:rsidR="003E5A8A" w:rsidRPr="005B5BF1">
        <w:rPr>
          <w:rFonts w:ascii="Palatino Linotype" w:eastAsia="Times New Roman" w:hAnsi="Palatino Linotype" w:cs="Garamond"/>
          <w:color w:val="000000" w:themeColor="text1"/>
          <w:sz w:val="22"/>
          <w:szCs w:val="22"/>
        </w:rPr>
        <w:t xml:space="preserve"> per cent during last month.</w:t>
      </w:r>
    </w:p>
    <w:p w:rsidR="00596E5C" w:rsidRPr="005B5BF1" w:rsidRDefault="00596E5C" w:rsidP="00596E5C">
      <w:pPr>
        <w:pStyle w:val="ListParagraph"/>
        <w:numPr>
          <w:ilvl w:val="0"/>
          <w:numId w:val="8"/>
        </w:numPr>
        <w:jc w:val="both"/>
        <w:rPr>
          <w:rFonts w:ascii="Palatino Linotype" w:eastAsia="Times New Roman" w:hAnsi="Palatino Linotype"/>
          <w:sz w:val="22"/>
          <w:szCs w:val="22"/>
        </w:rPr>
      </w:pPr>
      <w:r w:rsidRPr="005B5BF1">
        <w:rPr>
          <w:rFonts w:ascii="Palatino Linotype" w:eastAsia="Times New Roman" w:hAnsi="Palatino Linotype"/>
          <w:sz w:val="22"/>
          <w:szCs w:val="22"/>
        </w:rPr>
        <w:t xml:space="preserve">The </w:t>
      </w:r>
      <w:r w:rsidRPr="005B5BF1">
        <w:rPr>
          <w:rFonts w:ascii="Palatino Linotype" w:eastAsia="Times New Roman" w:hAnsi="Palatino Linotype"/>
          <w:color w:val="000000" w:themeColor="text1"/>
          <w:sz w:val="22"/>
          <w:szCs w:val="22"/>
        </w:rPr>
        <w:t xml:space="preserve">notional turnover in index options (call and put together) </w:t>
      </w:r>
      <w:r w:rsidR="006346B2">
        <w:rPr>
          <w:rFonts w:ascii="Palatino Linotype" w:eastAsia="Times New Roman" w:hAnsi="Palatino Linotype"/>
          <w:color w:val="000000" w:themeColor="text1"/>
          <w:sz w:val="22"/>
          <w:szCs w:val="22"/>
        </w:rPr>
        <w:t>de</w:t>
      </w:r>
      <w:r w:rsidRPr="005B5BF1">
        <w:rPr>
          <w:rFonts w:ascii="Palatino Linotype" w:eastAsia="Times New Roman" w:hAnsi="Palatino Linotype"/>
          <w:color w:val="000000" w:themeColor="text1"/>
          <w:sz w:val="22"/>
          <w:szCs w:val="22"/>
        </w:rPr>
        <w:t xml:space="preserve">creased by </w:t>
      </w:r>
      <w:r w:rsidR="006346B2">
        <w:rPr>
          <w:rFonts w:ascii="Palatino Linotype" w:eastAsia="Times New Roman" w:hAnsi="Palatino Linotype"/>
          <w:color w:val="000000" w:themeColor="text1"/>
          <w:sz w:val="22"/>
          <w:szCs w:val="22"/>
        </w:rPr>
        <w:t xml:space="preserve">5.9 </w:t>
      </w:r>
      <w:r w:rsidRPr="005B5BF1">
        <w:rPr>
          <w:rFonts w:ascii="Palatino Linotype" w:eastAsia="Times New Roman" w:hAnsi="Palatino Linotype"/>
          <w:color w:val="000000" w:themeColor="text1"/>
          <w:sz w:val="22"/>
          <w:szCs w:val="22"/>
        </w:rPr>
        <w:t xml:space="preserve">per cent to </w:t>
      </w:r>
      <w:r w:rsidR="006446D3" w:rsidRPr="006446D3">
        <w:rPr>
          <w:rFonts w:ascii="Rupee Foradian" w:eastAsia="Times New Roman" w:hAnsi="Rupee Foradian"/>
          <w:b/>
          <w:color w:val="000000" w:themeColor="text1"/>
          <w:szCs w:val="22"/>
        </w:rPr>
        <w:t>`</w:t>
      </w:r>
      <w:r w:rsidRPr="005B5BF1">
        <w:rPr>
          <w:rFonts w:ascii="Palatino Linotype" w:eastAsia="Times New Roman" w:hAnsi="Palatino Linotype"/>
          <w:color w:val="000000" w:themeColor="text1"/>
          <w:sz w:val="22"/>
          <w:szCs w:val="22"/>
        </w:rPr>
        <w:t xml:space="preserve"> </w:t>
      </w:r>
      <w:r w:rsidR="006346B2">
        <w:rPr>
          <w:rFonts w:ascii="Palatino Linotype" w:eastAsia="Times New Roman" w:hAnsi="Palatino Linotype"/>
          <w:color w:val="000000" w:themeColor="text1"/>
          <w:sz w:val="22"/>
          <w:szCs w:val="22"/>
        </w:rPr>
        <w:t>259.9</w:t>
      </w:r>
      <w:r w:rsidRPr="005B5BF1">
        <w:rPr>
          <w:rFonts w:ascii="Palatino Linotype" w:eastAsia="Times New Roman" w:hAnsi="Palatino Linotype"/>
          <w:color w:val="000000" w:themeColor="text1"/>
          <w:sz w:val="22"/>
          <w:szCs w:val="22"/>
        </w:rPr>
        <w:t xml:space="preserve"> </w:t>
      </w:r>
      <w:r w:rsidRPr="005B5BF1">
        <w:rPr>
          <w:rFonts w:ascii="Palatino Linotype" w:eastAsia="Times New Roman" w:hAnsi="Palatino Linotype"/>
          <w:sz w:val="22"/>
          <w:szCs w:val="22"/>
        </w:rPr>
        <w:t xml:space="preserve">lakh crore in </w:t>
      </w:r>
      <w:r w:rsidR="006346B2">
        <w:rPr>
          <w:rFonts w:ascii="Palatino Linotype" w:eastAsia="Times New Roman" w:hAnsi="Palatino Linotype"/>
          <w:sz w:val="22"/>
          <w:szCs w:val="22"/>
        </w:rPr>
        <w:t>September</w:t>
      </w:r>
      <w:r w:rsidRPr="005B5BF1">
        <w:rPr>
          <w:rFonts w:ascii="Palatino Linotype" w:eastAsia="Times New Roman" w:hAnsi="Palatino Linotype"/>
          <w:sz w:val="22"/>
          <w:szCs w:val="22"/>
        </w:rPr>
        <w:t xml:space="preserve"> 2019 from </w:t>
      </w:r>
      <w:r w:rsidR="006446D3" w:rsidRPr="006446D3">
        <w:rPr>
          <w:rFonts w:ascii="Rupee Foradian" w:eastAsia="Times New Roman" w:hAnsi="Rupee Foradian"/>
          <w:b/>
          <w:szCs w:val="22"/>
        </w:rPr>
        <w:t>`</w:t>
      </w:r>
      <w:r w:rsidRPr="005B5BF1">
        <w:rPr>
          <w:rFonts w:ascii="Palatino Linotype" w:eastAsia="Times New Roman" w:hAnsi="Palatino Linotype"/>
          <w:sz w:val="22"/>
          <w:szCs w:val="22"/>
        </w:rPr>
        <w:t xml:space="preserve"> </w:t>
      </w:r>
      <w:r w:rsidR="006346B2" w:rsidRPr="005B5BF1">
        <w:rPr>
          <w:rFonts w:ascii="Palatino Linotype" w:eastAsia="Times New Roman" w:hAnsi="Palatino Linotype"/>
          <w:color w:val="000000" w:themeColor="text1"/>
          <w:sz w:val="22"/>
          <w:szCs w:val="22"/>
        </w:rPr>
        <w:t xml:space="preserve">276.3 </w:t>
      </w:r>
      <w:r w:rsidR="006346B2" w:rsidRPr="005B5BF1">
        <w:rPr>
          <w:rFonts w:ascii="Palatino Linotype" w:eastAsia="Times New Roman" w:hAnsi="Palatino Linotype"/>
          <w:sz w:val="22"/>
          <w:szCs w:val="22"/>
        </w:rPr>
        <w:t>lakh crore in August 2019</w:t>
      </w:r>
      <w:r w:rsidRPr="005B5BF1">
        <w:rPr>
          <w:rFonts w:ascii="Palatino Linotype" w:eastAsia="Times New Roman" w:hAnsi="Palatino Linotype"/>
          <w:sz w:val="22"/>
          <w:szCs w:val="22"/>
        </w:rPr>
        <w:t>.</w:t>
      </w:r>
    </w:p>
    <w:p w:rsidR="009553FC" w:rsidRPr="006346B2" w:rsidRDefault="009553FC" w:rsidP="006346B2">
      <w:pPr>
        <w:pStyle w:val="ListParagraph"/>
        <w:numPr>
          <w:ilvl w:val="0"/>
          <w:numId w:val="8"/>
        </w:numPr>
        <w:jc w:val="both"/>
        <w:rPr>
          <w:rFonts w:ascii="Palatino Linotype" w:eastAsia="Times New Roman" w:hAnsi="Palatino Linotype"/>
          <w:sz w:val="22"/>
          <w:szCs w:val="22"/>
        </w:rPr>
      </w:pPr>
      <w:r w:rsidRPr="006346B2">
        <w:rPr>
          <w:rFonts w:ascii="Palatino Linotype" w:eastAsia="Times New Roman" w:hAnsi="Palatino Linotype"/>
          <w:sz w:val="22"/>
          <w:szCs w:val="22"/>
        </w:rPr>
        <w:t>During the month</w:t>
      </w:r>
      <w:r w:rsidR="00D86166" w:rsidRPr="006346B2">
        <w:rPr>
          <w:rFonts w:ascii="Palatino Linotype" w:eastAsia="Times New Roman" w:hAnsi="Palatino Linotype"/>
          <w:sz w:val="22"/>
          <w:szCs w:val="22"/>
        </w:rPr>
        <w:t>,</w:t>
      </w:r>
      <w:r w:rsidRPr="006346B2">
        <w:rPr>
          <w:rFonts w:ascii="Palatino Linotype" w:eastAsia="Times New Roman" w:hAnsi="Palatino Linotype"/>
          <w:sz w:val="22"/>
          <w:szCs w:val="22"/>
        </w:rPr>
        <w:t xml:space="preserve"> the </w:t>
      </w:r>
      <w:r w:rsidR="0032036A" w:rsidRPr="006346B2">
        <w:rPr>
          <w:rFonts w:ascii="Palatino Linotype" w:eastAsia="Times New Roman" w:hAnsi="Palatino Linotype"/>
          <w:sz w:val="22"/>
          <w:szCs w:val="22"/>
        </w:rPr>
        <w:t xml:space="preserve">notional turnover of index futures </w:t>
      </w:r>
      <w:r w:rsidRPr="006346B2">
        <w:rPr>
          <w:rFonts w:ascii="Palatino Linotype" w:eastAsia="Times New Roman" w:hAnsi="Palatino Linotype"/>
          <w:sz w:val="22"/>
          <w:szCs w:val="22"/>
        </w:rPr>
        <w:t xml:space="preserve">increased by </w:t>
      </w:r>
      <w:r w:rsidR="005678B7" w:rsidRPr="006346B2">
        <w:rPr>
          <w:rFonts w:ascii="Palatino Linotype" w:eastAsia="Times New Roman" w:hAnsi="Palatino Linotype"/>
          <w:sz w:val="22"/>
          <w:szCs w:val="22"/>
        </w:rPr>
        <w:t>19.3</w:t>
      </w:r>
      <w:r w:rsidRPr="006346B2">
        <w:rPr>
          <w:rFonts w:ascii="Palatino Linotype" w:eastAsia="Times New Roman" w:hAnsi="Palatino Linotype"/>
          <w:sz w:val="22"/>
          <w:szCs w:val="22"/>
        </w:rPr>
        <w:t xml:space="preserve"> per</w:t>
      </w:r>
      <w:r w:rsidR="0083315B" w:rsidRPr="006346B2">
        <w:rPr>
          <w:rFonts w:ascii="Palatino Linotype" w:eastAsia="Times New Roman" w:hAnsi="Palatino Linotype"/>
          <w:sz w:val="22"/>
          <w:szCs w:val="22"/>
        </w:rPr>
        <w:t xml:space="preserve"> </w:t>
      </w:r>
      <w:r w:rsidRPr="006346B2">
        <w:rPr>
          <w:rFonts w:ascii="Palatino Linotype" w:eastAsia="Times New Roman" w:hAnsi="Palatino Linotype"/>
          <w:sz w:val="22"/>
          <w:szCs w:val="22"/>
        </w:rPr>
        <w:t>cent to</w:t>
      </w:r>
      <w:r w:rsidR="006446D3" w:rsidRPr="006446D3">
        <w:rPr>
          <w:rFonts w:ascii="Rupee Foradian" w:eastAsia="Times New Roman" w:hAnsi="Rupee Foradian"/>
          <w:b/>
          <w:szCs w:val="22"/>
        </w:rPr>
        <w:t>`</w:t>
      </w:r>
      <w:r w:rsidR="006346B2" w:rsidRPr="006346B2">
        <w:rPr>
          <w:rFonts w:ascii="Palatino Linotype" w:eastAsia="Times New Roman" w:hAnsi="Palatino Linotype"/>
          <w:sz w:val="22"/>
          <w:szCs w:val="22"/>
        </w:rPr>
        <w:t xml:space="preserve"> 6,40,331 crore from</w:t>
      </w:r>
      <w:r w:rsidRPr="006346B2">
        <w:rPr>
          <w:rFonts w:ascii="Palatino Linotype" w:eastAsia="Times New Roman" w:hAnsi="Palatino Linotype"/>
          <w:sz w:val="22"/>
          <w:szCs w:val="22"/>
        </w:rPr>
        <w:t xml:space="preserve"> </w:t>
      </w:r>
      <w:r w:rsidR="006446D3" w:rsidRPr="006446D3">
        <w:rPr>
          <w:rFonts w:ascii="Rupee Foradian" w:eastAsia="Times New Roman" w:hAnsi="Rupee Foradian"/>
          <w:b/>
          <w:szCs w:val="22"/>
        </w:rPr>
        <w:t>`</w:t>
      </w:r>
      <w:r w:rsidRPr="006346B2">
        <w:rPr>
          <w:rFonts w:ascii="Palatino Linotype" w:eastAsia="Times New Roman" w:hAnsi="Palatino Linotype"/>
          <w:sz w:val="22"/>
          <w:szCs w:val="22"/>
        </w:rPr>
        <w:t xml:space="preserve"> </w:t>
      </w:r>
      <w:r w:rsidR="005678B7" w:rsidRPr="006346B2">
        <w:rPr>
          <w:rFonts w:ascii="Palatino Linotype" w:eastAsia="Times New Roman" w:hAnsi="Palatino Linotype"/>
          <w:sz w:val="22"/>
          <w:szCs w:val="22"/>
        </w:rPr>
        <w:t>6,06,554 crore</w:t>
      </w:r>
      <w:r w:rsidR="006346B2" w:rsidRPr="006346B2">
        <w:rPr>
          <w:rFonts w:ascii="Palatino Linotype" w:eastAsia="Times New Roman" w:hAnsi="Palatino Linotype"/>
          <w:sz w:val="22"/>
          <w:szCs w:val="22"/>
        </w:rPr>
        <w:t xml:space="preserve"> in August 2019</w:t>
      </w:r>
      <w:r w:rsidRPr="006346B2">
        <w:rPr>
          <w:rFonts w:ascii="Palatino Linotype" w:eastAsia="Times New Roman" w:hAnsi="Palatino Linotype"/>
          <w:sz w:val="22"/>
          <w:szCs w:val="22"/>
        </w:rPr>
        <w:t>.</w:t>
      </w:r>
    </w:p>
    <w:p w:rsidR="009553FC" w:rsidRPr="005B5BF1" w:rsidRDefault="009553FC" w:rsidP="006346B2">
      <w:pPr>
        <w:pStyle w:val="ListParagraph"/>
        <w:numPr>
          <w:ilvl w:val="0"/>
          <w:numId w:val="8"/>
        </w:numPr>
        <w:jc w:val="both"/>
        <w:rPr>
          <w:rFonts w:ascii="Palatino Linotype" w:eastAsia="Times New Roman" w:hAnsi="Palatino Linotype"/>
          <w:sz w:val="22"/>
          <w:szCs w:val="22"/>
        </w:rPr>
      </w:pPr>
      <w:r w:rsidRPr="005B5BF1">
        <w:rPr>
          <w:rFonts w:ascii="Palatino Linotype" w:eastAsia="Times New Roman" w:hAnsi="Palatino Linotype"/>
          <w:color w:val="000000" w:themeColor="text1"/>
          <w:sz w:val="22"/>
          <w:szCs w:val="22"/>
        </w:rPr>
        <w:t xml:space="preserve">The notional turnover of </w:t>
      </w:r>
      <w:r w:rsidR="0032036A" w:rsidRPr="005B5BF1">
        <w:rPr>
          <w:rFonts w:ascii="Palatino Linotype" w:eastAsia="Times New Roman" w:hAnsi="Palatino Linotype"/>
          <w:color w:val="000000" w:themeColor="text1"/>
          <w:sz w:val="22"/>
          <w:szCs w:val="22"/>
        </w:rPr>
        <w:t xml:space="preserve">stock futures </w:t>
      </w:r>
      <w:r w:rsidR="006346B2">
        <w:rPr>
          <w:rFonts w:ascii="Palatino Linotype" w:eastAsia="Times New Roman" w:hAnsi="Palatino Linotype"/>
          <w:color w:val="000000" w:themeColor="text1"/>
          <w:sz w:val="22"/>
          <w:szCs w:val="22"/>
        </w:rPr>
        <w:t>in</w:t>
      </w:r>
      <w:r w:rsidR="0032036A" w:rsidRPr="005B5BF1">
        <w:rPr>
          <w:rFonts w:ascii="Palatino Linotype" w:eastAsia="Times New Roman" w:hAnsi="Palatino Linotype"/>
          <w:color w:val="000000" w:themeColor="text1"/>
          <w:sz w:val="22"/>
          <w:szCs w:val="22"/>
        </w:rPr>
        <w:t xml:space="preserve">creased by </w:t>
      </w:r>
      <w:r w:rsidR="006346B2">
        <w:rPr>
          <w:rFonts w:ascii="Palatino Linotype" w:eastAsia="Times New Roman" w:hAnsi="Palatino Linotype"/>
          <w:color w:val="000000" w:themeColor="text1"/>
          <w:sz w:val="22"/>
          <w:szCs w:val="22"/>
        </w:rPr>
        <w:t>0.4</w:t>
      </w:r>
      <w:r w:rsidR="0032036A" w:rsidRPr="005B5BF1">
        <w:rPr>
          <w:rFonts w:ascii="Palatino Linotype" w:eastAsia="Times New Roman" w:hAnsi="Palatino Linotype"/>
          <w:color w:val="000000" w:themeColor="text1"/>
          <w:sz w:val="22"/>
          <w:szCs w:val="22"/>
        </w:rPr>
        <w:t xml:space="preserve"> per cent </w:t>
      </w:r>
      <w:r w:rsidRPr="005B5BF1">
        <w:rPr>
          <w:rFonts w:ascii="Palatino Linotype" w:eastAsia="Times New Roman" w:hAnsi="Palatino Linotype"/>
          <w:color w:val="000000" w:themeColor="text1"/>
          <w:sz w:val="22"/>
          <w:szCs w:val="22"/>
        </w:rPr>
        <w:t xml:space="preserve">to </w:t>
      </w:r>
      <w:r w:rsidR="006446D3" w:rsidRPr="006446D3">
        <w:rPr>
          <w:rFonts w:ascii="Rupee Foradian" w:eastAsia="Times New Roman" w:hAnsi="Rupee Foradian"/>
          <w:b/>
          <w:color w:val="000000" w:themeColor="text1"/>
          <w:szCs w:val="22"/>
        </w:rPr>
        <w:t>`</w:t>
      </w:r>
      <w:r w:rsidRPr="005B5BF1">
        <w:rPr>
          <w:rFonts w:ascii="Palatino Linotype" w:eastAsia="Times New Roman" w:hAnsi="Palatino Linotype"/>
          <w:color w:val="000000" w:themeColor="text1"/>
          <w:sz w:val="22"/>
          <w:szCs w:val="22"/>
        </w:rPr>
        <w:t xml:space="preserve"> </w:t>
      </w:r>
      <w:r w:rsidR="006346B2" w:rsidRPr="006346B2">
        <w:rPr>
          <w:rFonts w:ascii="Palatino Linotype" w:eastAsia="Times New Roman" w:hAnsi="Palatino Linotype"/>
          <w:sz w:val="22"/>
          <w:szCs w:val="22"/>
        </w:rPr>
        <w:t>10,39,134</w:t>
      </w:r>
      <w:r w:rsidR="006346B2">
        <w:rPr>
          <w:rFonts w:ascii="Palatino Linotype" w:eastAsia="Times New Roman" w:hAnsi="Palatino Linotype"/>
          <w:sz w:val="22"/>
          <w:szCs w:val="22"/>
        </w:rPr>
        <w:t xml:space="preserve"> </w:t>
      </w:r>
      <w:r w:rsidRPr="005B5BF1">
        <w:rPr>
          <w:rFonts w:ascii="Palatino Linotype" w:eastAsia="Times New Roman" w:hAnsi="Palatino Linotype"/>
          <w:sz w:val="22"/>
          <w:szCs w:val="22"/>
        </w:rPr>
        <w:t>crore</w:t>
      </w:r>
      <w:r w:rsidR="005678B7" w:rsidRPr="005B5BF1">
        <w:rPr>
          <w:rFonts w:ascii="Palatino Linotype" w:eastAsia="Times New Roman" w:hAnsi="Palatino Linotype"/>
          <w:sz w:val="22"/>
          <w:szCs w:val="22"/>
        </w:rPr>
        <w:t xml:space="preserve"> </w:t>
      </w:r>
      <w:r w:rsidR="006346B2">
        <w:rPr>
          <w:rFonts w:ascii="Palatino Linotype" w:eastAsia="Times New Roman" w:hAnsi="Palatino Linotype"/>
          <w:sz w:val="22"/>
          <w:szCs w:val="22"/>
        </w:rPr>
        <w:t xml:space="preserve">from </w:t>
      </w:r>
      <w:r w:rsidR="006446D3" w:rsidRPr="006446D3">
        <w:rPr>
          <w:rFonts w:ascii="Rupee Foradian" w:eastAsia="Times New Roman" w:hAnsi="Rupee Foradian"/>
          <w:b/>
          <w:szCs w:val="22"/>
        </w:rPr>
        <w:t>`</w:t>
      </w:r>
      <w:r w:rsidR="006346B2">
        <w:rPr>
          <w:rFonts w:ascii="Palatino Linotype" w:eastAsia="Times New Roman" w:hAnsi="Palatino Linotype"/>
          <w:sz w:val="22"/>
          <w:szCs w:val="22"/>
        </w:rPr>
        <w:t xml:space="preserve"> </w:t>
      </w:r>
      <w:r w:rsidR="006346B2" w:rsidRPr="006346B2">
        <w:rPr>
          <w:rFonts w:ascii="Palatino Linotype" w:eastAsia="Times New Roman" w:hAnsi="Palatino Linotype"/>
          <w:sz w:val="22"/>
          <w:szCs w:val="22"/>
        </w:rPr>
        <w:t>10,35,025</w:t>
      </w:r>
      <w:r w:rsidR="006346B2">
        <w:rPr>
          <w:rFonts w:ascii="Palatino Linotype" w:eastAsia="Times New Roman" w:hAnsi="Palatino Linotype"/>
          <w:sz w:val="22"/>
          <w:szCs w:val="22"/>
        </w:rPr>
        <w:t xml:space="preserve"> crore in August</w:t>
      </w:r>
      <w:r w:rsidR="005678B7" w:rsidRPr="005B5BF1">
        <w:rPr>
          <w:rFonts w:ascii="Palatino Linotype" w:eastAsia="Times New Roman" w:hAnsi="Palatino Linotype"/>
          <w:sz w:val="22"/>
          <w:szCs w:val="22"/>
        </w:rPr>
        <w:t xml:space="preserve"> 2019</w:t>
      </w:r>
      <w:r w:rsidRPr="005B5BF1">
        <w:rPr>
          <w:rFonts w:ascii="Palatino Linotype" w:eastAsia="Times New Roman" w:hAnsi="Palatino Linotype"/>
          <w:sz w:val="22"/>
          <w:szCs w:val="22"/>
        </w:rPr>
        <w:t>.</w:t>
      </w:r>
    </w:p>
    <w:p w:rsidR="00CA4F9B" w:rsidRPr="005B5BF1" w:rsidRDefault="00CA4F9B" w:rsidP="008E660D">
      <w:pPr>
        <w:pStyle w:val="ListParagraph"/>
        <w:numPr>
          <w:ilvl w:val="0"/>
          <w:numId w:val="8"/>
        </w:numPr>
        <w:jc w:val="both"/>
        <w:rPr>
          <w:rFonts w:ascii="Palatino Linotype" w:eastAsia="Times New Roman" w:hAnsi="Palatino Linotype"/>
          <w:sz w:val="22"/>
          <w:szCs w:val="22"/>
        </w:rPr>
      </w:pPr>
      <w:r w:rsidRPr="005B5BF1">
        <w:rPr>
          <w:rFonts w:ascii="Palatino Linotype" w:eastAsia="Times New Roman" w:hAnsi="Palatino Linotype"/>
          <w:sz w:val="22"/>
          <w:szCs w:val="22"/>
        </w:rPr>
        <w:t xml:space="preserve">The </w:t>
      </w:r>
      <w:r w:rsidRPr="005B5BF1">
        <w:rPr>
          <w:rFonts w:ascii="Palatino Linotype" w:eastAsia="Times New Roman" w:hAnsi="Palatino Linotype"/>
          <w:color w:val="000000" w:themeColor="text1"/>
          <w:sz w:val="22"/>
          <w:szCs w:val="22"/>
        </w:rPr>
        <w:t xml:space="preserve">notional turnover in stock options (call and put together) </w:t>
      </w:r>
      <w:r w:rsidR="006346B2">
        <w:rPr>
          <w:rFonts w:ascii="Palatino Linotype" w:eastAsia="Times New Roman" w:hAnsi="Palatino Linotype"/>
          <w:color w:val="000000" w:themeColor="text1"/>
          <w:sz w:val="22"/>
          <w:szCs w:val="22"/>
        </w:rPr>
        <w:t>in</w:t>
      </w:r>
      <w:r w:rsidRPr="005B5BF1">
        <w:rPr>
          <w:rFonts w:ascii="Palatino Linotype" w:eastAsia="Times New Roman" w:hAnsi="Palatino Linotype"/>
          <w:color w:val="000000" w:themeColor="text1"/>
          <w:sz w:val="22"/>
          <w:szCs w:val="22"/>
        </w:rPr>
        <w:t xml:space="preserve">creased by </w:t>
      </w:r>
      <w:r w:rsidR="006346B2">
        <w:rPr>
          <w:rFonts w:ascii="Palatino Linotype" w:eastAsia="Times New Roman" w:hAnsi="Palatino Linotype"/>
          <w:color w:val="000000" w:themeColor="text1"/>
          <w:sz w:val="22"/>
          <w:szCs w:val="22"/>
        </w:rPr>
        <w:t>3.3</w:t>
      </w:r>
      <w:r w:rsidRPr="005B5BF1">
        <w:rPr>
          <w:rFonts w:ascii="Palatino Linotype" w:eastAsia="Times New Roman" w:hAnsi="Palatino Linotype"/>
          <w:color w:val="000000" w:themeColor="text1"/>
          <w:sz w:val="22"/>
          <w:szCs w:val="22"/>
        </w:rPr>
        <w:t xml:space="preserve"> per cent to </w:t>
      </w:r>
      <w:r w:rsidR="006446D3" w:rsidRPr="006446D3">
        <w:rPr>
          <w:rFonts w:ascii="Rupee Foradian" w:eastAsia="Times New Roman" w:hAnsi="Rupee Foradian"/>
          <w:b/>
          <w:color w:val="000000" w:themeColor="text1"/>
          <w:szCs w:val="22"/>
        </w:rPr>
        <w:t>`</w:t>
      </w:r>
      <w:r w:rsidR="005B5BF1" w:rsidRPr="005B5BF1">
        <w:rPr>
          <w:rFonts w:ascii="Palatino Linotype" w:eastAsia="Times New Roman" w:hAnsi="Palatino Linotype"/>
          <w:color w:val="000000" w:themeColor="text1"/>
          <w:sz w:val="22"/>
          <w:szCs w:val="22"/>
        </w:rPr>
        <w:t xml:space="preserve"> </w:t>
      </w:r>
      <w:r w:rsidR="006346B2">
        <w:rPr>
          <w:rFonts w:ascii="Palatino Linotype" w:eastAsia="Times New Roman" w:hAnsi="Palatino Linotype"/>
          <w:sz w:val="22"/>
          <w:szCs w:val="22"/>
        </w:rPr>
        <w:t>12.5 lakh crore</w:t>
      </w:r>
      <w:r w:rsidRPr="005B5BF1">
        <w:rPr>
          <w:rFonts w:ascii="Palatino Linotype" w:eastAsia="Times New Roman" w:hAnsi="Palatino Linotype"/>
          <w:sz w:val="22"/>
          <w:szCs w:val="22"/>
        </w:rPr>
        <w:t xml:space="preserve"> crore from </w:t>
      </w:r>
      <w:r w:rsidR="006446D3" w:rsidRPr="006446D3">
        <w:rPr>
          <w:rFonts w:ascii="Rupee Foradian" w:eastAsia="Times New Roman" w:hAnsi="Rupee Foradian"/>
          <w:b/>
          <w:szCs w:val="22"/>
        </w:rPr>
        <w:t>`</w:t>
      </w:r>
      <w:r w:rsidRPr="005B5BF1">
        <w:rPr>
          <w:rFonts w:ascii="Palatino Linotype" w:eastAsia="Times New Roman" w:hAnsi="Palatino Linotype"/>
          <w:sz w:val="22"/>
          <w:szCs w:val="22"/>
        </w:rPr>
        <w:t xml:space="preserve"> </w:t>
      </w:r>
      <w:r w:rsidR="006346B2">
        <w:rPr>
          <w:rFonts w:ascii="Palatino Linotype" w:eastAsia="Times New Roman" w:hAnsi="Palatino Linotype"/>
          <w:sz w:val="22"/>
          <w:szCs w:val="22"/>
        </w:rPr>
        <w:t>12.1 lakh crore</w:t>
      </w:r>
      <w:r w:rsidR="005B5BF1" w:rsidRPr="005B5BF1">
        <w:rPr>
          <w:rFonts w:ascii="Palatino Linotype" w:eastAsia="Times New Roman" w:hAnsi="Palatino Linotype"/>
          <w:sz w:val="22"/>
          <w:szCs w:val="22"/>
        </w:rPr>
        <w:t xml:space="preserve"> </w:t>
      </w:r>
      <w:r w:rsidRPr="005B5BF1">
        <w:rPr>
          <w:rFonts w:ascii="Palatino Linotype" w:eastAsia="Times New Roman" w:hAnsi="Palatino Linotype"/>
          <w:sz w:val="22"/>
          <w:szCs w:val="22"/>
        </w:rPr>
        <w:t>crore during the period.</w:t>
      </w:r>
    </w:p>
    <w:p w:rsidR="0032036A" w:rsidRPr="005B5BF1" w:rsidRDefault="00CA4F9B" w:rsidP="006346B2">
      <w:pPr>
        <w:pStyle w:val="ListParagraph"/>
        <w:numPr>
          <w:ilvl w:val="0"/>
          <w:numId w:val="8"/>
        </w:numPr>
        <w:jc w:val="both"/>
        <w:rPr>
          <w:rFonts w:ascii="Palatino Linotype" w:eastAsia="Times New Roman" w:hAnsi="Palatino Linotype"/>
          <w:bCs/>
          <w:sz w:val="22"/>
          <w:szCs w:val="22"/>
        </w:rPr>
      </w:pPr>
      <w:r w:rsidRPr="005B5BF1">
        <w:rPr>
          <w:rFonts w:ascii="Palatino Linotype" w:eastAsia="Times New Roman" w:hAnsi="Palatino Linotype"/>
          <w:color w:val="000000" w:themeColor="text1"/>
          <w:sz w:val="22"/>
          <w:szCs w:val="22"/>
        </w:rPr>
        <w:t xml:space="preserve">As on </w:t>
      </w:r>
      <w:r w:rsidR="006346B2">
        <w:rPr>
          <w:rFonts w:ascii="Palatino Linotype" w:eastAsia="Times New Roman" w:hAnsi="Palatino Linotype"/>
          <w:color w:val="000000" w:themeColor="text1"/>
          <w:sz w:val="22"/>
          <w:szCs w:val="22"/>
        </w:rPr>
        <w:t>September</w:t>
      </w:r>
      <w:r w:rsidRPr="005B5BF1">
        <w:rPr>
          <w:rFonts w:ascii="Palatino Linotype" w:eastAsia="Times New Roman" w:hAnsi="Palatino Linotype"/>
          <w:color w:val="000000" w:themeColor="text1"/>
          <w:sz w:val="22"/>
          <w:szCs w:val="22"/>
        </w:rPr>
        <w:t xml:space="preserve"> </w:t>
      </w:r>
      <w:r w:rsidR="005B5BF1" w:rsidRPr="005B5BF1">
        <w:rPr>
          <w:rFonts w:ascii="Palatino Linotype" w:eastAsia="Times New Roman" w:hAnsi="Palatino Linotype"/>
          <w:color w:val="000000" w:themeColor="text1"/>
          <w:sz w:val="22"/>
          <w:szCs w:val="22"/>
        </w:rPr>
        <w:t>30</w:t>
      </w:r>
      <w:r w:rsidRPr="005B5BF1">
        <w:rPr>
          <w:rFonts w:ascii="Palatino Linotype" w:eastAsia="Times New Roman" w:hAnsi="Palatino Linotype"/>
          <w:color w:val="000000" w:themeColor="text1"/>
          <w:sz w:val="22"/>
          <w:szCs w:val="22"/>
        </w:rPr>
        <w:t>, 2019 the</w:t>
      </w:r>
      <w:r w:rsidR="0032036A" w:rsidRPr="005B5BF1">
        <w:rPr>
          <w:rFonts w:ascii="Palatino Linotype" w:eastAsia="Times New Roman" w:hAnsi="Palatino Linotype"/>
          <w:color w:val="000000" w:themeColor="text1"/>
          <w:sz w:val="22"/>
          <w:szCs w:val="22"/>
        </w:rPr>
        <w:t xml:space="preserve"> open interest</w:t>
      </w:r>
      <w:r w:rsidRPr="005B5BF1">
        <w:rPr>
          <w:rFonts w:ascii="Palatino Linotype" w:eastAsia="Times New Roman" w:hAnsi="Palatino Linotype"/>
          <w:color w:val="000000" w:themeColor="text1"/>
          <w:sz w:val="22"/>
          <w:szCs w:val="22"/>
        </w:rPr>
        <w:t xml:space="preserve"> at NSE stood at </w:t>
      </w:r>
      <w:r w:rsidR="006446D3" w:rsidRPr="006446D3">
        <w:rPr>
          <w:rFonts w:ascii="Rupee Foradian" w:eastAsia="Times New Roman" w:hAnsi="Rupee Foradian"/>
          <w:b/>
          <w:color w:val="000000" w:themeColor="text1"/>
          <w:szCs w:val="22"/>
        </w:rPr>
        <w:t>`</w:t>
      </w:r>
      <w:r w:rsidRPr="005B5BF1">
        <w:rPr>
          <w:rFonts w:ascii="Palatino Linotype" w:hAnsi="Palatino Linotype"/>
          <w:bCs/>
          <w:sz w:val="22"/>
          <w:szCs w:val="22"/>
        </w:rPr>
        <w:t xml:space="preserve"> </w:t>
      </w:r>
      <w:r w:rsidR="006346B2" w:rsidRPr="006346B2">
        <w:rPr>
          <w:rFonts w:ascii="Palatino Linotype" w:eastAsia="Times New Roman" w:hAnsi="Palatino Linotype"/>
          <w:bCs/>
          <w:sz w:val="22"/>
          <w:szCs w:val="22"/>
        </w:rPr>
        <w:t>3,00,577</w:t>
      </w:r>
      <w:r w:rsidR="006346B2">
        <w:rPr>
          <w:rFonts w:ascii="Palatino Linotype" w:eastAsia="Times New Roman" w:hAnsi="Palatino Linotype"/>
          <w:bCs/>
          <w:sz w:val="22"/>
          <w:szCs w:val="22"/>
        </w:rPr>
        <w:t xml:space="preserve"> </w:t>
      </w:r>
      <w:r w:rsidRPr="005B5BF1">
        <w:rPr>
          <w:rFonts w:ascii="Palatino Linotype" w:eastAsia="Times New Roman" w:hAnsi="Palatino Linotype"/>
          <w:bCs/>
          <w:sz w:val="22"/>
          <w:szCs w:val="22"/>
        </w:rPr>
        <w:t xml:space="preserve">crore from </w:t>
      </w:r>
      <w:r w:rsidR="006446D3" w:rsidRPr="006446D3">
        <w:rPr>
          <w:rFonts w:ascii="Rupee Foradian" w:eastAsia="Times New Roman" w:hAnsi="Rupee Foradian"/>
          <w:b/>
          <w:bCs/>
          <w:szCs w:val="22"/>
        </w:rPr>
        <w:t>`</w:t>
      </w:r>
      <w:r w:rsidRPr="005B5BF1">
        <w:rPr>
          <w:rFonts w:ascii="Palatino Linotype" w:eastAsia="Times New Roman" w:hAnsi="Palatino Linotype"/>
          <w:bCs/>
          <w:sz w:val="22"/>
          <w:szCs w:val="22"/>
        </w:rPr>
        <w:t xml:space="preserve"> </w:t>
      </w:r>
      <w:r w:rsidR="006346B2" w:rsidRPr="006346B2">
        <w:rPr>
          <w:rFonts w:ascii="Palatino Linotype" w:eastAsia="Times New Roman" w:hAnsi="Palatino Linotype"/>
          <w:bCs/>
          <w:sz w:val="22"/>
          <w:szCs w:val="22"/>
        </w:rPr>
        <w:t>2,73,758</w:t>
      </w:r>
      <w:r w:rsidR="006346B2">
        <w:rPr>
          <w:rFonts w:ascii="Palatino Linotype" w:eastAsia="Times New Roman" w:hAnsi="Palatino Linotype"/>
          <w:bCs/>
          <w:sz w:val="22"/>
          <w:szCs w:val="22"/>
        </w:rPr>
        <w:t xml:space="preserve"> </w:t>
      </w:r>
      <w:r w:rsidRPr="005B5BF1">
        <w:rPr>
          <w:rFonts w:ascii="Palatino Linotype" w:eastAsia="Times New Roman" w:hAnsi="Palatino Linotype"/>
          <w:bCs/>
          <w:sz w:val="22"/>
          <w:szCs w:val="22"/>
        </w:rPr>
        <w:t>crore, a</w:t>
      </w:r>
      <w:r w:rsidR="006346B2">
        <w:rPr>
          <w:rFonts w:ascii="Palatino Linotype" w:eastAsia="Times New Roman" w:hAnsi="Palatino Linotype"/>
          <w:bCs/>
          <w:sz w:val="22"/>
          <w:szCs w:val="22"/>
        </w:rPr>
        <w:t>n</w:t>
      </w:r>
      <w:r w:rsidRPr="005B5BF1">
        <w:rPr>
          <w:rFonts w:ascii="Palatino Linotype" w:eastAsia="Times New Roman" w:hAnsi="Palatino Linotype"/>
          <w:bCs/>
          <w:sz w:val="22"/>
          <w:szCs w:val="22"/>
        </w:rPr>
        <w:t xml:space="preserve"> </w:t>
      </w:r>
      <w:r w:rsidR="006346B2">
        <w:rPr>
          <w:rFonts w:ascii="Palatino Linotype" w:eastAsia="Times New Roman" w:hAnsi="Palatino Linotype"/>
          <w:bCs/>
          <w:sz w:val="22"/>
          <w:szCs w:val="22"/>
        </w:rPr>
        <w:t>in</w:t>
      </w:r>
      <w:r w:rsidR="0083315B" w:rsidRPr="005B5BF1">
        <w:rPr>
          <w:rFonts w:ascii="Palatino Linotype" w:eastAsia="Times New Roman" w:hAnsi="Palatino Linotype"/>
          <w:bCs/>
          <w:sz w:val="22"/>
          <w:szCs w:val="22"/>
        </w:rPr>
        <w:t>crease of</w:t>
      </w:r>
      <w:r w:rsidRPr="005B5BF1">
        <w:rPr>
          <w:rFonts w:ascii="Palatino Linotype" w:eastAsia="Times New Roman" w:hAnsi="Palatino Linotype"/>
          <w:bCs/>
          <w:sz w:val="22"/>
          <w:szCs w:val="22"/>
        </w:rPr>
        <w:t xml:space="preserve"> </w:t>
      </w:r>
      <w:r w:rsidR="006346B2">
        <w:rPr>
          <w:rFonts w:ascii="Palatino Linotype" w:eastAsia="Times New Roman" w:hAnsi="Palatino Linotype"/>
          <w:bCs/>
          <w:sz w:val="22"/>
          <w:szCs w:val="22"/>
        </w:rPr>
        <w:t>9.8</w:t>
      </w:r>
      <w:r w:rsidRPr="005B5BF1">
        <w:rPr>
          <w:rFonts w:ascii="Palatino Linotype" w:eastAsia="Times New Roman" w:hAnsi="Palatino Linotype"/>
          <w:bCs/>
          <w:sz w:val="22"/>
          <w:szCs w:val="22"/>
        </w:rPr>
        <w:t xml:space="preserve"> per cent</w:t>
      </w:r>
      <w:r w:rsidRPr="005B5BF1">
        <w:rPr>
          <w:rFonts w:ascii="Palatino Linotype" w:eastAsia="Times New Roman" w:hAnsi="Palatino Linotype"/>
          <w:color w:val="000000" w:themeColor="text1"/>
          <w:sz w:val="22"/>
          <w:szCs w:val="22"/>
        </w:rPr>
        <w:t xml:space="preserve"> over previous month.</w:t>
      </w:r>
    </w:p>
    <w:p w:rsidR="0032036A" w:rsidRPr="005B5BF1" w:rsidRDefault="0032036A" w:rsidP="008E660D">
      <w:pPr>
        <w:pStyle w:val="ListParagraph"/>
        <w:numPr>
          <w:ilvl w:val="0"/>
          <w:numId w:val="8"/>
        </w:numPr>
        <w:jc w:val="both"/>
        <w:rPr>
          <w:rFonts w:ascii="Palatino Linotype" w:eastAsia="Times New Roman" w:hAnsi="Palatino Linotype" w:cs="Calibri"/>
          <w:color w:val="000000" w:themeColor="text1"/>
          <w:sz w:val="22"/>
          <w:szCs w:val="22"/>
        </w:rPr>
      </w:pPr>
      <w:r w:rsidRPr="005B5BF1">
        <w:rPr>
          <w:rFonts w:ascii="Palatino Linotype" w:eastAsia="Times New Roman" w:hAnsi="Palatino Linotype"/>
          <w:color w:val="000000" w:themeColor="text1"/>
          <w:sz w:val="22"/>
          <w:szCs w:val="22"/>
        </w:rPr>
        <w:t xml:space="preserve">In </w:t>
      </w:r>
      <w:r w:rsidR="006346B2">
        <w:rPr>
          <w:rFonts w:ascii="Palatino Linotype" w:eastAsia="Times New Roman" w:hAnsi="Palatino Linotype"/>
          <w:color w:val="000000" w:themeColor="text1"/>
          <w:sz w:val="22"/>
          <w:szCs w:val="22"/>
        </w:rPr>
        <w:t>September</w:t>
      </w:r>
      <w:r w:rsidRPr="005B5BF1">
        <w:rPr>
          <w:rFonts w:ascii="Palatino Linotype" w:eastAsia="Times New Roman" w:hAnsi="Palatino Linotype"/>
          <w:color w:val="000000" w:themeColor="text1"/>
          <w:sz w:val="22"/>
          <w:szCs w:val="22"/>
        </w:rPr>
        <w:t xml:space="preserve"> 2019, the equity derivatives segment turnover of BSE</w:t>
      </w:r>
      <w:r w:rsidR="006346B2">
        <w:rPr>
          <w:rFonts w:ascii="Palatino Linotype" w:eastAsia="Times New Roman" w:hAnsi="Palatino Linotype"/>
          <w:color w:val="000000" w:themeColor="text1"/>
          <w:sz w:val="22"/>
          <w:szCs w:val="22"/>
        </w:rPr>
        <w:t xml:space="preserve"> increased significantly to </w:t>
      </w:r>
      <w:r w:rsidRPr="005B5BF1">
        <w:rPr>
          <w:rFonts w:ascii="Times New Roman" w:eastAsia="Times New Roman" w:hAnsi="Times New Roman"/>
          <w:color w:val="000000" w:themeColor="text1"/>
          <w:sz w:val="22"/>
          <w:szCs w:val="22"/>
        </w:rPr>
        <w:t>₹</w:t>
      </w:r>
      <w:r w:rsidR="006346B2">
        <w:rPr>
          <w:rFonts w:ascii="Palatino Linotype" w:eastAsia="Times New Roman" w:hAnsi="Palatino Linotype"/>
          <w:color w:val="000000" w:themeColor="text1"/>
          <w:sz w:val="22"/>
          <w:szCs w:val="22"/>
        </w:rPr>
        <w:t>595.3</w:t>
      </w:r>
      <w:r w:rsidRPr="005B5BF1">
        <w:rPr>
          <w:rFonts w:ascii="Palatino Linotype" w:eastAsia="Times New Roman" w:hAnsi="Palatino Linotype"/>
          <w:color w:val="000000" w:themeColor="text1"/>
          <w:sz w:val="22"/>
          <w:szCs w:val="22"/>
        </w:rPr>
        <w:t xml:space="preserve"> crore compared to </w:t>
      </w:r>
      <w:r w:rsidRPr="005B5BF1">
        <w:rPr>
          <w:rFonts w:ascii="Times New Roman" w:eastAsia="Times New Roman" w:hAnsi="Times New Roman"/>
          <w:color w:val="000000" w:themeColor="text1"/>
          <w:sz w:val="22"/>
          <w:szCs w:val="22"/>
        </w:rPr>
        <w:t>₹</w:t>
      </w:r>
      <w:r w:rsidRPr="005B5BF1">
        <w:rPr>
          <w:rFonts w:ascii="Palatino Linotype" w:eastAsia="Times New Roman" w:hAnsi="Palatino Linotype" w:cs="Tahoma"/>
          <w:color w:val="000000" w:themeColor="text1"/>
          <w:sz w:val="22"/>
          <w:szCs w:val="22"/>
        </w:rPr>
        <w:t xml:space="preserve"> </w:t>
      </w:r>
      <w:r w:rsidR="006346B2">
        <w:rPr>
          <w:rFonts w:ascii="Palatino Linotype" w:eastAsia="Times New Roman" w:hAnsi="Palatino Linotype"/>
          <w:color w:val="000000" w:themeColor="text1"/>
          <w:sz w:val="22"/>
          <w:szCs w:val="22"/>
        </w:rPr>
        <w:t>19.6</w:t>
      </w:r>
      <w:r w:rsidRPr="005B5BF1">
        <w:rPr>
          <w:rFonts w:ascii="Palatino Linotype" w:eastAsia="Times New Roman" w:hAnsi="Palatino Linotype"/>
          <w:color w:val="000000" w:themeColor="text1"/>
          <w:sz w:val="22"/>
          <w:szCs w:val="22"/>
        </w:rPr>
        <w:t xml:space="preserve"> crore in </w:t>
      </w:r>
      <w:r w:rsidR="006346B2">
        <w:rPr>
          <w:rFonts w:ascii="Palatino Linotype" w:eastAsia="Times New Roman" w:hAnsi="Palatino Linotype"/>
          <w:color w:val="000000" w:themeColor="text1"/>
          <w:sz w:val="22"/>
          <w:szCs w:val="22"/>
        </w:rPr>
        <w:t>August</w:t>
      </w:r>
      <w:r w:rsidRPr="005B5BF1">
        <w:rPr>
          <w:rFonts w:ascii="Palatino Linotype" w:eastAsia="Times New Roman" w:hAnsi="Palatino Linotype"/>
          <w:color w:val="000000" w:themeColor="text1"/>
          <w:sz w:val="22"/>
          <w:szCs w:val="22"/>
        </w:rPr>
        <w:t xml:space="preserve"> 2019</w:t>
      </w:r>
      <w:r w:rsidRPr="005B5BF1">
        <w:rPr>
          <w:rFonts w:ascii="Palatino Linotype" w:eastAsia="Times New Roman" w:hAnsi="Palatino Linotype" w:cs="Calibri"/>
          <w:color w:val="000000" w:themeColor="text1"/>
          <w:sz w:val="22"/>
          <w:szCs w:val="22"/>
        </w:rPr>
        <w:t xml:space="preserve">. </w:t>
      </w:r>
    </w:p>
    <w:p w:rsidR="00DF7E39" w:rsidRDefault="00DF7E39" w:rsidP="00DF7E39">
      <w:pPr>
        <w:pStyle w:val="ListParagraph"/>
        <w:rPr>
          <w:rFonts w:ascii="Palatino Linotype" w:hAnsi="Palatino Linotype"/>
          <w:b/>
          <w:sz w:val="22"/>
          <w:szCs w:val="22"/>
        </w:rPr>
      </w:pPr>
    </w:p>
    <w:p w:rsidR="00E34D03" w:rsidRPr="00E34D03" w:rsidRDefault="00E34D03" w:rsidP="00DF7E39">
      <w:pPr>
        <w:pStyle w:val="ListParagraph"/>
        <w:spacing w:line="240" w:lineRule="auto"/>
        <w:rPr>
          <w:rFonts w:ascii="Palatino Linotype" w:hAnsi="Palatino Linotype"/>
          <w:b/>
          <w:sz w:val="22"/>
          <w:szCs w:val="22"/>
        </w:rPr>
      </w:pPr>
      <w:r w:rsidRPr="00E34D03">
        <w:rPr>
          <w:rFonts w:ascii="Palatino Linotype" w:hAnsi="Palatino Linotype"/>
          <w:b/>
          <w:sz w:val="22"/>
          <w:szCs w:val="22"/>
        </w:rPr>
        <w:t>Figure 6: Trends of Equity Derivatives Segment at NSE (</w:t>
      </w:r>
      <w:r w:rsidRPr="00E34D03">
        <w:rPr>
          <w:rFonts w:ascii="Tahoma" w:hAnsi="Tahoma" w:cs="Tahoma"/>
          <w:b/>
          <w:sz w:val="22"/>
          <w:szCs w:val="22"/>
        </w:rPr>
        <w:t>₹</w:t>
      </w:r>
      <w:r w:rsidRPr="00E34D03">
        <w:rPr>
          <w:rFonts w:ascii="Palatino Linotype" w:hAnsi="Palatino Linotype" w:cs="Garamond"/>
          <w:b/>
          <w:sz w:val="22"/>
          <w:szCs w:val="22"/>
        </w:rPr>
        <w:t xml:space="preserve"> </w:t>
      </w:r>
      <w:r w:rsidRPr="00E34D03">
        <w:rPr>
          <w:rFonts w:ascii="Palatino Linotype" w:hAnsi="Palatino Linotype"/>
          <w:b/>
          <w:sz w:val="22"/>
          <w:szCs w:val="22"/>
        </w:rPr>
        <w:t>crore)</w:t>
      </w:r>
    </w:p>
    <w:p w:rsidR="0032036A" w:rsidRDefault="00227721" w:rsidP="0032036A">
      <w:pPr>
        <w:jc w:val="both"/>
        <w:rPr>
          <w:rFonts w:ascii="Palatino Linotype" w:eastAsia="Times New Roman" w:hAnsi="Palatino Linotype"/>
          <w:color w:val="000000" w:themeColor="text1"/>
          <w:sz w:val="22"/>
          <w:szCs w:val="22"/>
          <w:highlight w:val="yellow"/>
        </w:rPr>
      </w:pPr>
      <w:r>
        <w:rPr>
          <w:noProof/>
          <w:lang w:val="en-US" w:bidi="hi-IN"/>
        </w:rPr>
        <w:lastRenderedPageBreak/>
        <w:drawing>
          <wp:inline distT="0" distB="0" distL="0" distR="0" wp14:anchorId="117527EB" wp14:editId="146AB73D">
            <wp:extent cx="5348967" cy="2415268"/>
            <wp:effectExtent l="0" t="0" r="4445" b="444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15AF" w:rsidRDefault="005A15AF" w:rsidP="0032036A">
      <w:pPr>
        <w:jc w:val="both"/>
        <w:rPr>
          <w:rFonts w:ascii="Palatino Linotype" w:eastAsia="Times New Roman" w:hAnsi="Palatino Linotype"/>
          <w:color w:val="000000" w:themeColor="text1"/>
          <w:sz w:val="22"/>
          <w:szCs w:val="22"/>
          <w:highlight w:val="yellow"/>
        </w:rPr>
      </w:pPr>
    </w:p>
    <w:p w:rsidR="005A15AF" w:rsidRPr="009A0EB3" w:rsidRDefault="005A15AF" w:rsidP="0032036A">
      <w:pPr>
        <w:jc w:val="both"/>
        <w:rPr>
          <w:rFonts w:ascii="Palatino Linotype" w:eastAsia="Times New Roman" w:hAnsi="Palatino Linotype"/>
          <w:color w:val="000000" w:themeColor="text1"/>
          <w:sz w:val="22"/>
          <w:szCs w:val="22"/>
          <w:highlight w:val="yellow"/>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Currency Derivatives at NSE, BSE and MSEI</w:t>
      </w:r>
    </w:p>
    <w:p w:rsidR="0032036A" w:rsidRPr="009A0EB3" w:rsidRDefault="0032036A" w:rsidP="0032036A">
      <w:pPr>
        <w:widowControl w:val="0"/>
        <w:contextualSpacing/>
        <w:jc w:val="both"/>
        <w:outlineLvl w:val="0"/>
        <w:rPr>
          <w:rFonts w:ascii="Palatino Linotype" w:hAnsi="Palatino Linotype"/>
          <w:b/>
          <w:sz w:val="22"/>
          <w:szCs w:val="22"/>
        </w:rPr>
      </w:pPr>
    </w:p>
    <w:p w:rsidR="00780D32" w:rsidRPr="002E627C" w:rsidRDefault="00780D32" w:rsidP="002E627C">
      <w:pPr>
        <w:pStyle w:val="ListParagraph"/>
        <w:numPr>
          <w:ilvl w:val="0"/>
          <w:numId w:val="9"/>
        </w:numPr>
        <w:jc w:val="both"/>
        <w:rPr>
          <w:rFonts w:ascii="Palatino Linotype" w:eastAsia="Times New Roman" w:hAnsi="Palatino Linotype"/>
          <w:sz w:val="22"/>
          <w:szCs w:val="22"/>
        </w:rPr>
      </w:pPr>
      <w:r w:rsidRPr="00BA2435">
        <w:rPr>
          <w:rFonts w:ascii="Palatino Linotype" w:eastAsia="Times New Roman" w:hAnsi="Palatino Linotype"/>
          <w:sz w:val="22"/>
          <w:szCs w:val="22"/>
        </w:rPr>
        <w:t xml:space="preserve">During </w:t>
      </w:r>
      <w:r w:rsidR="006346B2">
        <w:rPr>
          <w:rFonts w:ascii="Palatino Linotype" w:eastAsia="Times New Roman" w:hAnsi="Palatino Linotype"/>
          <w:sz w:val="22"/>
          <w:szCs w:val="22"/>
        </w:rPr>
        <w:t>September</w:t>
      </w:r>
      <w:r w:rsidRPr="00BA2435">
        <w:rPr>
          <w:rFonts w:ascii="Palatino Linotype" w:eastAsia="Times New Roman" w:hAnsi="Palatino Linotype"/>
          <w:sz w:val="22"/>
          <w:szCs w:val="22"/>
        </w:rPr>
        <w:t xml:space="preserve"> 2019, the </w:t>
      </w:r>
      <w:r w:rsidR="0032036A" w:rsidRPr="00BA2435">
        <w:rPr>
          <w:rFonts w:ascii="Palatino Linotype" w:eastAsia="Times New Roman" w:hAnsi="Palatino Linotype"/>
          <w:sz w:val="22"/>
          <w:szCs w:val="22"/>
        </w:rPr>
        <w:t>monthly turnover of currency derivatives in India</w:t>
      </w:r>
      <w:r w:rsidRPr="00BA2435">
        <w:rPr>
          <w:rFonts w:ascii="Palatino Linotype" w:eastAsia="Times New Roman" w:hAnsi="Palatino Linotype"/>
          <w:sz w:val="22"/>
          <w:szCs w:val="22"/>
        </w:rPr>
        <w:t xml:space="preserve"> (NSE, BSE and MSEI together)</w:t>
      </w:r>
      <w:r w:rsidR="0032036A" w:rsidRPr="00BA2435">
        <w:rPr>
          <w:rFonts w:ascii="Palatino Linotype" w:eastAsia="Times New Roman" w:hAnsi="Palatino Linotype"/>
          <w:sz w:val="22"/>
          <w:szCs w:val="22"/>
        </w:rPr>
        <w:t xml:space="preserve"> </w:t>
      </w:r>
      <w:r w:rsidRPr="00BA2435">
        <w:rPr>
          <w:rFonts w:ascii="Palatino Linotype" w:eastAsia="Times New Roman" w:hAnsi="Palatino Linotype"/>
          <w:sz w:val="22"/>
          <w:szCs w:val="22"/>
        </w:rPr>
        <w:t xml:space="preserve">stood at </w:t>
      </w:r>
      <w:r w:rsidR="006446D3" w:rsidRPr="006446D3">
        <w:rPr>
          <w:rFonts w:ascii="Rupee Foradian" w:eastAsia="Times New Roman" w:hAnsi="Rupee Foradian"/>
          <w:b/>
          <w:szCs w:val="22"/>
        </w:rPr>
        <w:t>`</w:t>
      </w:r>
      <w:r w:rsidRPr="00BA2435">
        <w:rPr>
          <w:rFonts w:ascii="Palatino Linotype" w:eastAsia="Times New Roman" w:hAnsi="Palatino Linotype"/>
          <w:sz w:val="22"/>
          <w:szCs w:val="22"/>
        </w:rPr>
        <w:t xml:space="preserve"> </w:t>
      </w:r>
      <w:r w:rsidR="006346B2">
        <w:rPr>
          <w:rFonts w:ascii="Palatino Linotype" w:eastAsia="Times New Roman" w:hAnsi="Palatino Linotype"/>
          <w:sz w:val="22"/>
          <w:szCs w:val="22"/>
        </w:rPr>
        <w:t>14.7</w:t>
      </w:r>
      <w:r w:rsidRPr="00BA2435">
        <w:rPr>
          <w:rFonts w:ascii="Palatino Linotype" w:eastAsia="Times New Roman" w:hAnsi="Palatino Linotype"/>
          <w:sz w:val="22"/>
          <w:szCs w:val="22"/>
        </w:rPr>
        <w:t xml:space="preserve"> lakh crore from </w:t>
      </w:r>
      <w:r w:rsidR="006446D3" w:rsidRPr="006446D3">
        <w:rPr>
          <w:rFonts w:ascii="Rupee Foradian" w:eastAsia="Times New Roman" w:hAnsi="Rupee Foradian"/>
          <w:b/>
          <w:szCs w:val="22"/>
        </w:rPr>
        <w:t>`</w:t>
      </w:r>
      <w:r w:rsidRPr="00BA2435">
        <w:rPr>
          <w:rFonts w:ascii="Palatino Linotype" w:eastAsia="Times New Roman" w:hAnsi="Palatino Linotype"/>
          <w:sz w:val="22"/>
          <w:szCs w:val="22"/>
        </w:rPr>
        <w:t xml:space="preserve"> </w:t>
      </w:r>
      <w:r w:rsidR="006346B2">
        <w:rPr>
          <w:rFonts w:ascii="Palatino Linotype" w:eastAsia="Times New Roman" w:hAnsi="Palatino Linotype"/>
          <w:sz w:val="22"/>
          <w:szCs w:val="22"/>
        </w:rPr>
        <w:t>16.5</w:t>
      </w:r>
      <w:r w:rsidR="0032036A" w:rsidRPr="00BA2435">
        <w:rPr>
          <w:rFonts w:ascii="Rupee Foradian" w:eastAsia="Times New Roman" w:hAnsi="Rupee Foradian"/>
          <w:b/>
          <w:szCs w:val="22"/>
        </w:rPr>
        <w:t xml:space="preserve"> </w:t>
      </w:r>
      <w:r w:rsidR="0032036A" w:rsidRPr="00BA2435">
        <w:rPr>
          <w:rFonts w:ascii="Palatino Linotype" w:eastAsia="Times New Roman" w:hAnsi="Palatino Linotype"/>
          <w:sz w:val="22"/>
          <w:szCs w:val="22"/>
        </w:rPr>
        <w:t xml:space="preserve">lakh crore in </w:t>
      </w:r>
      <w:r w:rsidR="006346B2">
        <w:rPr>
          <w:rFonts w:ascii="Palatino Linotype" w:eastAsia="Times New Roman" w:hAnsi="Palatino Linotype"/>
          <w:sz w:val="22"/>
          <w:szCs w:val="22"/>
        </w:rPr>
        <w:t>August</w:t>
      </w:r>
      <w:r w:rsidR="002E627C">
        <w:rPr>
          <w:rFonts w:ascii="Palatino Linotype" w:eastAsia="Times New Roman" w:hAnsi="Palatino Linotype"/>
          <w:sz w:val="22"/>
          <w:szCs w:val="22"/>
        </w:rPr>
        <w:t xml:space="preserve"> 2019, a decrease of 10.9 per cent.</w:t>
      </w:r>
    </w:p>
    <w:p w:rsidR="00780D32" w:rsidRPr="00BA2435" w:rsidRDefault="00780D32" w:rsidP="007B7F5A">
      <w:pPr>
        <w:pStyle w:val="ListParagraph"/>
        <w:numPr>
          <w:ilvl w:val="0"/>
          <w:numId w:val="9"/>
        </w:numPr>
        <w:jc w:val="both"/>
        <w:rPr>
          <w:rFonts w:ascii="Palatino Linotype" w:eastAsia="Times New Roman" w:hAnsi="Palatino Linotype"/>
          <w:sz w:val="22"/>
          <w:szCs w:val="22"/>
        </w:rPr>
      </w:pPr>
      <w:r w:rsidRPr="00BA2435">
        <w:rPr>
          <w:rFonts w:ascii="Palatino Linotype" w:eastAsia="Times New Roman" w:hAnsi="Palatino Linotype"/>
          <w:sz w:val="22"/>
          <w:szCs w:val="22"/>
        </w:rPr>
        <w:t>The trading volume</w:t>
      </w:r>
      <w:r w:rsidR="00D86166">
        <w:rPr>
          <w:rFonts w:ascii="Palatino Linotype" w:eastAsia="Times New Roman" w:hAnsi="Palatino Linotype"/>
          <w:sz w:val="22"/>
          <w:szCs w:val="22"/>
        </w:rPr>
        <w:t>s in</w:t>
      </w:r>
      <w:r w:rsidR="006346B2">
        <w:rPr>
          <w:rFonts w:ascii="Palatino Linotype" w:eastAsia="Times New Roman" w:hAnsi="Palatino Linotype"/>
          <w:sz w:val="22"/>
          <w:szCs w:val="22"/>
        </w:rPr>
        <w:t xml:space="preserve"> Currency Derivatives at NSE de</w:t>
      </w:r>
      <w:r w:rsidRPr="00BA2435">
        <w:rPr>
          <w:rFonts w:ascii="Palatino Linotype" w:eastAsia="Times New Roman" w:hAnsi="Palatino Linotype"/>
          <w:sz w:val="22"/>
          <w:szCs w:val="22"/>
        </w:rPr>
        <w:t xml:space="preserve">creased by </w:t>
      </w:r>
      <w:r w:rsidR="006346B2">
        <w:rPr>
          <w:rFonts w:ascii="Palatino Linotype" w:eastAsia="Times New Roman" w:hAnsi="Palatino Linotype"/>
          <w:sz w:val="22"/>
          <w:szCs w:val="22"/>
        </w:rPr>
        <w:t>14.3</w:t>
      </w:r>
      <w:r w:rsidR="00BD3EDC" w:rsidRPr="00BA2435">
        <w:rPr>
          <w:rFonts w:ascii="Palatino Linotype" w:eastAsia="Times New Roman" w:hAnsi="Palatino Linotype"/>
          <w:sz w:val="22"/>
          <w:szCs w:val="22"/>
        </w:rPr>
        <w:t xml:space="preserve"> per cent to </w:t>
      </w:r>
      <w:r w:rsidR="006446D3" w:rsidRPr="006446D3">
        <w:rPr>
          <w:rFonts w:ascii="Rupee Foradian" w:eastAsia="Times New Roman" w:hAnsi="Rupee Foradian"/>
          <w:b/>
          <w:szCs w:val="22"/>
        </w:rPr>
        <w:t>`</w:t>
      </w:r>
      <w:r w:rsidR="00BD3EDC" w:rsidRPr="00BA2435">
        <w:rPr>
          <w:rFonts w:ascii="Palatino Linotype" w:eastAsia="Times New Roman" w:hAnsi="Palatino Linotype"/>
          <w:sz w:val="22"/>
          <w:szCs w:val="22"/>
        </w:rPr>
        <w:t xml:space="preserve"> </w:t>
      </w:r>
      <w:r w:rsidR="007B7F5A" w:rsidRPr="007B7F5A">
        <w:rPr>
          <w:rFonts w:ascii="Palatino Linotype" w:eastAsia="Times New Roman" w:hAnsi="Palatino Linotype"/>
          <w:sz w:val="22"/>
          <w:szCs w:val="22"/>
        </w:rPr>
        <w:t xml:space="preserve">8,79,828 </w:t>
      </w:r>
      <w:r w:rsidR="00BD3EDC" w:rsidRPr="00BA2435">
        <w:rPr>
          <w:rFonts w:ascii="Palatino Linotype" w:eastAsia="Times New Roman" w:hAnsi="Palatino Linotype"/>
          <w:sz w:val="22"/>
          <w:szCs w:val="22"/>
        </w:rPr>
        <w:t xml:space="preserve">crore in </w:t>
      </w:r>
      <w:r w:rsidR="007B7F5A">
        <w:rPr>
          <w:rFonts w:ascii="Palatino Linotype" w:eastAsia="Times New Roman" w:hAnsi="Palatino Linotype"/>
          <w:sz w:val="22"/>
          <w:szCs w:val="22"/>
        </w:rPr>
        <w:t>September 2019</w:t>
      </w:r>
      <w:r w:rsidR="00BD3EDC" w:rsidRPr="00BA2435">
        <w:rPr>
          <w:rFonts w:ascii="Palatino Linotype" w:eastAsia="Times New Roman" w:hAnsi="Palatino Linotype"/>
          <w:sz w:val="22"/>
          <w:szCs w:val="22"/>
        </w:rPr>
        <w:t xml:space="preserve"> from </w:t>
      </w:r>
      <w:r w:rsidR="006446D3" w:rsidRPr="006446D3">
        <w:rPr>
          <w:rFonts w:ascii="Rupee Foradian" w:eastAsia="Times New Roman" w:hAnsi="Rupee Foradian"/>
          <w:b/>
          <w:szCs w:val="22"/>
        </w:rPr>
        <w:t>`</w:t>
      </w:r>
      <w:r w:rsidR="007B7F5A" w:rsidRPr="00BA2435">
        <w:rPr>
          <w:rFonts w:ascii="Palatino Linotype" w:eastAsia="Times New Roman" w:hAnsi="Palatino Linotype"/>
          <w:sz w:val="22"/>
          <w:szCs w:val="22"/>
        </w:rPr>
        <w:t xml:space="preserve"> </w:t>
      </w:r>
      <w:r w:rsidR="007B7F5A" w:rsidRPr="00F073AA">
        <w:rPr>
          <w:rFonts w:ascii="Palatino Linotype" w:eastAsia="Times New Roman" w:hAnsi="Palatino Linotype"/>
          <w:sz w:val="22"/>
          <w:szCs w:val="22"/>
        </w:rPr>
        <w:t>10,27,025</w:t>
      </w:r>
      <w:r w:rsidR="007B7F5A">
        <w:rPr>
          <w:rFonts w:ascii="Palatino Linotype" w:eastAsia="Times New Roman" w:hAnsi="Palatino Linotype"/>
          <w:sz w:val="22"/>
          <w:szCs w:val="22"/>
        </w:rPr>
        <w:t xml:space="preserve"> </w:t>
      </w:r>
      <w:r w:rsidR="007B7F5A" w:rsidRPr="00BA2435">
        <w:rPr>
          <w:rFonts w:ascii="Palatino Linotype" w:eastAsia="Times New Roman" w:hAnsi="Palatino Linotype"/>
          <w:sz w:val="22"/>
          <w:szCs w:val="22"/>
        </w:rPr>
        <w:t xml:space="preserve">crore in </w:t>
      </w:r>
      <w:r w:rsidR="007B7F5A">
        <w:rPr>
          <w:rFonts w:ascii="Palatino Linotype" w:eastAsia="Times New Roman" w:hAnsi="Palatino Linotype"/>
          <w:sz w:val="22"/>
          <w:szCs w:val="22"/>
        </w:rPr>
        <w:t>August</w:t>
      </w:r>
      <w:r w:rsidR="00BD3EDC" w:rsidRPr="00BA2435">
        <w:rPr>
          <w:rFonts w:ascii="Palatino Linotype" w:eastAsia="Times New Roman" w:hAnsi="Palatino Linotype"/>
          <w:sz w:val="22"/>
          <w:szCs w:val="22"/>
        </w:rPr>
        <w:t xml:space="preserve"> 2019.</w:t>
      </w:r>
    </w:p>
    <w:p w:rsidR="00BD3EDC" w:rsidRPr="00BA2435" w:rsidRDefault="00D86166" w:rsidP="007B7F5A">
      <w:pPr>
        <w:pStyle w:val="ListParagraph"/>
        <w:numPr>
          <w:ilvl w:val="0"/>
          <w:numId w:val="9"/>
        </w:numPr>
        <w:jc w:val="both"/>
        <w:rPr>
          <w:rFonts w:ascii="Palatino Linotype" w:eastAsia="Times New Roman" w:hAnsi="Palatino Linotype"/>
          <w:sz w:val="22"/>
          <w:szCs w:val="22"/>
        </w:rPr>
      </w:pPr>
      <w:r w:rsidRPr="00BA2435">
        <w:rPr>
          <w:rFonts w:ascii="Palatino Linotype" w:eastAsia="Times New Roman" w:hAnsi="Palatino Linotype"/>
          <w:sz w:val="22"/>
          <w:szCs w:val="22"/>
        </w:rPr>
        <w:t xml:space="preserve">The </w:t>
      </w:r>
      <w:r w:rsidR="00BD3EDC" w:rsidRPr="00BA2435">
        <w:rPr>
          <w:rFonts w:ascii="Palatino Linotype" w:eastAsia="Times New Roman" w:hAnsi="Palatino Linotype"/>
          <w:sz w:val="22"/>
          <w:szCs w:val="22"/>
        </w:rPr>
        <w:t>trading volu</w:t>
      </w:r>
      <w:r w:rsidR="00F073AA">
        <w:rPr>
          <w:rFonts w:ascii="Palatino Linotype" w:eastAsia="Times New Roman" w:hAnsi="Palatino Linotype"/>
          <w:sz w:val="22"/>
          <w:szCs w:val="22"/>
        </w:rPr>
        <w:t>me</w:t>
      </w:r>
      <w:r>
        <w:rPr>
          <w:rFonts w:ascii="Palatino Linotype" w:eastAsia="Times New Roman" w:hAnsi="Palatino Linotype"/>
          <w:sz w:val="22"/>
          <w:szCs w:val="22"/>
        </w:rPr>
        <w:t>s in</w:t>
      </w:r>
      <w:r w:rsidR="00F073AA">
        <w:rPr>
          <w:rFonts w:ascii="Palatino Linotype" w:eastAsia="Times New Roman" w:hAnsi="Palatino Linotype"/>
          <w:sz w:val="22"/>
          <w:szCs w:val="22"/>
        </w:rPr>
        <w:t xml:space="preserve"> Currency Derivatives at BSE de</w:t>
      </w:r>
      <w:r w:rsidR="00BD3EDC" w:rsidRPr="00BA2435">
        <w:rPr>
          <w:rFonts w:ascii="Palatino Linotype" w:eastAsia="Times New Roman" w:hAnsi="Palatino Linotype"/>
          <w:sz w:val="22"/>
          <w:szCs w:val="22"/>
        </w:rPr>
        <w:t xml:space="preserve">creased by </w:t>
      </w:r>
      <w:r w:rsidR="007B7F5A">
        <w:rPr>
          <w:rFonts w:ascii="Palatino Linotype" w:eastAsia="Times New Roman" w:hAnsi="Palatino Linotype"/>
          <w:sz w:val="22"/>
          <w:szCs w:val="22"/>
        </w:rPr>
        <w:t>6.4</w:t>
      </w:r>
      <w:r w:rsidR="00BD3EDC" w:rsidRPr="00BA2435">
        <w:rPr>
          <w:rFonts w:ascii="Palatino Linotype" w:eastAsia="Times New Roman" w:hAnsi="Palatino Linotype"/>
          <w:sz w:val="22"/>
          <w:szCs w:val="22"/>
        </w:rPr>
        <w:t xml:space="preserve"> per cent to </w:t>
      </w:r>
      <w:r w:rsidR="006446D3" w:rsidRPr="006446D3">
        <w:rPr>
          <w:rFonts w:ascii="Rupee Foradian" w:eastAsia="Times New Roman" w:hAnsi="Rupee Foradian"/>
          <w:b/>
          <w:szCs w:val="22"/>
        </w:rPr>
        <w:t>`</w:t>
      </w:r>
      <w:r w:rsidR="00BD3EDC" w:rsidRPr="00BA2435">
        <w:rPr>
          <w:rFonts w:ascii="Palatino Linotype" w:eastAsia="Times New Roman" w:hAnsi="Palatino Linotype"/>
          <w:sz w:val="22"/>
          <w:szCs w:val="22"/>
        </w:rPr>
        <w:t xml:space="preserve"> </w:t>
      </w:r>
      <w:r w:rsidR="007B7F5A" w:rsidRPr="007B7F5A">
        <w:rPr>
          <w:rFonts w:ascii="Palatino Linotype" w:eastAsia="Times New Roman" w:hAnsi="Palatino Linotype"/>
          <w:sz w:val="22"/>
          <w:szCs w:val="22"/>
        </w:rPr>
        <w:t xml:space="preserve">5,84,638 </w:t>
      </w:r>
      <w:r w:rsidR="007B7F5A">
        <w:rPr>
          <w:rFonts w:ascii="Palatino Linotype" w:eastAsia="Times New Roman" w:hAnsi="Palatino Linotype"/>
          <w:sz w:val="22"/>
          <w:szCs w:val="22"/>
        </w:rPr>
        <w:t xml:space="preserve">crore </w:t>
      </w:r>
      <w:r w:rsidR="00BD3EDC" w:rsidRPr="00BA2435">
        <w:rPr>
          <w:rFonts w:ascii="Palatino Linotype" w:eastAsia="Times New Roman" w:hAnsi="Palatino Linotype"/>
          <w:sz w:val="22"/>
          <w:szCs w:val="22"/>
        </w:rPr>
        <w:t xml:space="preserve">from </w:t>
      </w:r>
      <w:r w:rsidR="006446D3" w:rsidRPr="006446D3">
        <w:rPr>
          <w:rFonts w:ascii="Rupee Foradian" w:eastAsia="Times New Roman" w:hAnsi="Rupee Foradian"/>
          <w:b/>
          <w:szCs w:val="22"/>
        </w:rPr>
        <w:t>`</w:t>
      </w:r>
      <w:r w:rsidR="00BD3EDC" w:rsidRPr="00BD3EDC">
        <w:t xml:space="preserve"> </w:t>
      </w:r>
      <w:r w:rsidR="007B7F5A" w:rsidRPr="007B7F5A">
        <w:rPr>
          <w:rFonts w:ascii="Palatino Linotype" w:eastAsia="Times New Roman" w:hAnsi="Palatino Linotype"/>
          <w:sz w:val="22"/>
          <w:szCs w:val="22"/>
        </w:rPr>
        <w:t xml:space="preserve">6,24,311 </w:t>
      </w:r>
      <w:r w:rsidR="00BD3EDC" w:rsidRPr="00BA2435">
        <w:rPr>
          <w:rFonts w:ascii="Palatino Linotype" w:eastAsia="Times New Roman" w:hAnsi="Palatino Linotype"/>
          <w:sz w:val="22"/>
          <w:szCs w:val="22"/>
        </w:rPr>
        <w:t>crore during the same period.</w:t>
      </w:r>
    </w:p>
    <w:p w:rsidR="00BD3EDC" w:rsidRDefault="00BD3EDC" w:rsidP="007B7F5A">
      <w:pPr>
        <w:pStyle w:val="ListParagraph"/>
        <w:numPr>
          <w:ilvl w:val="0"/>
          <w:numId w:val="9"/>
        </w:numPr>
        <w:jc w:val="both"/>
        <w:rPr>
          <w:rFonts w:ascii="Palatino Linotype" w:eastAsia="Times New Roman" w:hAnsi="Palatino Linotype"/>
          <w:sz w:val="22"/>
          <w:szCs w:val="22"/>
        </w:rPr>
      </w:pPr>
      <w:r w:rsidRPr="00BA2435">
        <w:rPr>
          <w:rFonts w:ascii="Palatino Linotype" w:eastAsia="Times New Roman" w:hAnsi="Palatino Linotype"/>
          <w:sz w:val="22"/>
          <w:szCs w:val="22"/>
        </w:rPr>
        <w:t>The trading volume</w:t>
      </w:r>
      <w:r w:rsidR="004F1BBB">
        <w:rPr>
          <w:rFonts w:ascii="Palatino Linotype" w:eastAsia="Times New Roman" w:hAnsi="Palatino Linotype"/>
          <w:sz w:val="22"/>
          <w:szCs w:val="22"/>
        </w:rPr>
        <w:t>s in</w:t>
      </w:r>
      <w:r w:rsidRPr="00BA2435">
        <w:rPr>
          <w:rFonts w:ascii="Palatino Linotype" w:eastAsia="Times New Roman" w:hAnsi="Palatino Linotype"/>
          <w:sz w:val="22"/>
          <w:szCs w:val="22"/>
        </w:rPr>
        <w:t xml:space="preserve"> Currency Derivatives at MSEI stood </w:t>
      </w:r>
      <w:r w:rsidR="00F073AA" w:rsidRPr="00BA2435">
        <w:rPr>
          <w:rFonts w:ascii="Palatino Linotype" w:eastAsia="Times New Roman" w:hAnsi="Palatino Linotype"/>
          <w:sz w:val="22"/>
          <w:szCs w:val="22"/>
        </w:rPr>
        <w:t xml:space="preserve">at </w:t>
      </w:r>
      <w:r w:rsidR="006446D3" w:rsidRPr="006446D3">
        <w:rPr>
          <w:rFonts w:ascii="Rupee Foradian" w:eastAsia="Times New Roman" w:hAnsi="Rupee Foradian"/>
          <w:b/>
          <w:szCs w:val="22"/>
        </w:rPr>
        <w:t>`</w:t>
      </w:r>
      <w:r w:rsidRPr="00BA2435">
        <w:rPr>
          <w:rFonts w:ascii="Palatino Linotype" w:eastAsia="Times New Roman" w:hAnsi="Palatino Linotype"/>
          <w:sz w:val="22"/>
          <w:szCs w:val="22"/>
        </w:rPr>
        <w:t xml:space="preserve"> </w:t>
      </w:r>
      <w:r w:rsidR="007B7F5A" w:rsidRPr="007B7F5A">
        <w:rPr>
          <w:rFonts w:ascii="Palatino Linotype" w:eastAsia="Times New Roman" w:hAnsi="Palatino Linotype"/>
          <w:sz w:val="22"/>
          <w:szCs w:val="22"/>
        </w:rPr>
        <w:t xml:space="preserve">3,329 </w:t>
      </w:r>
      <w:r w:rsidRPr="00BA2435">
        <w:rPr>
          <w:rFonts w:ascii="Palatino Linotype" w:eastAsia="Times New Roman" w:hAnsi="Palatino Linotype"/>
          <w:sz w:val="22"/>
          <w:szCs w:val="22"/>
        </w:rPr>
        <w:t xml:space="preserve">crore in </w:t>
      </w:r>
      <w:r w:rsidR="007B7F5A">
        <w:rPr>
          <w:rFonts w:ascii="Palatino Linotype" w:eastAsia="Times New Roman" w:hAnsi="Palatino Linotype"/>
          <w:sz w:val="22"/>
          <w:szCs w:val="22"/>
        </w:rPr>
        <w:t>September 2019</w:t>
      </w:r>
      <w:r w:rsidRPr="00BA2435">
        <w:rPr>
          <w:rFonts w:ascii="Palatino Linotype" w:eastAsia="Times New Roman" w:hAnsi="Palatino Linotype"/>
          <w:sz w:val="22"/>
          <w:szCs w:val="22"/>
        </w:rPr>
        <w:t xml:space="preserve"> from </w:t>
      </w:r>
      <w:r w:rsidR="006446D3" w:rsidRPr="006446D3">
        <w:rPr>
          <w:rFonts w:ascii="Rupee Foradian" w:eastAsia="Times New Roman" w:hAnsi="Rupee Foradian"/>
          <w:b/>
          <w:szCs w:val="22"/>
        </w:rPr>
        <w:t>`</w:t>
      </w:r>
      <w:r w:rsidRPr="00BD3EDC">
        <w:t xml:space="preserve"> </w:t>
      </w:r>
      <w:r w:rsidR="007B7F5A" w:rsidRPr="007B7F5A">
        <w:rPr>
          <w:rFonts w:ascii="Palatino Linotype" w:eastAsia="Times New Roman" w:hAnsi="Palatino Linotype"/>
          <w:sz w:val="22"/>
          <w:szCs w:val="22"/>
        </w:rPr>
        <w:t xml:space="preserve">2,369 </w:t>
      </w:r>
      <w:r w:rsidR="00F073AA">
        <w:rPr>
          <w:rFonts w:ascii="Palatino Linotype" w:eastAsia="Times New Roman" w:hAnsi="Palatino Linotype"/>
          <w:sz w:val="22"/>
          <w:szCs w:val="22"/>
        </w:rPr>
        <w:t xml:space="preserve">crore in </w:t>
      </w:r>
      <w:r w:rsidR="007B7F5A">
        <w:rPr>
          <w:rFonts w:ascii="Palatino Linotype" w:eastAsia="Times New Roman" w:hAnsi="Palatino Linotype"/>
          <w:sz w:val="22"/>
          <w:szCs w:val="22"/>
        </w:rPr>
        <w:t>August</w:t>
      </w:r>
      <w:r w:rsidRPr="00BA2435">
        <w:rPr>
          <w:rFonts w:ascii="Palatino Linotype" w:eastAsia="Times New Roman" w:hAnsi="Palatino Linotype"/>
          <w:sz w:val="22"/>
          <w:szCs w:val="22"/>
        </w:rPr>
        <w:t xml:space="preserve"> 2019</w:t>
      </w:r>
      <w:r w:rsidR="004F1BBB">
        <w:rPr>
          <w:rFonts w:ascii="Palatino Linotype" w:eastAsia="Times New Roman" w:hAnsi="Palatino Linotype"/>
          <w:sz w:val="22"/>
          <w:szCs w:val="22"/>
        </w:rPr>
        <w:t xml:space="preserve">, increase of </w:t>
      </w:r>
      <w:r w:rsidR="007B7F5A">
        <w:rPr>
          <w:rFonts w:ascii="Palatino Linotype" w:eastAsia="Times New Roman" w:hAnsi="Palatino Linotype"/>
          <w:sz w:val="22"/>
          <w:szCs w:val="22"/>
        </w:rPr>
        <w:t>40.5</w:t>
      </w:r>
      <w:r w:rsidR="004F1BBB">
        <w:rPr>
          <w:rFonts w:ascii="Palatino Linotype" w:eastAsia="Times New Roman" w:hAnsi="Palatino Linotype"/>
          <w:sz w:val="22"/>
          <w:szCs w:val="22"/>
        </w:rPr>
        <w:t xml:space="preserve"> per cent</w:t>
      </w:r>
      <w:r w:rsidR="007B7F5A">
        <w:rPr>
          <w:rFonts w:ascii="Palatino Linotype" w:eastAsia="Times New Roman" w:hAnsi="Palatino Linotype"/>
          <w:sz w:val="22"/>
          <w:szCs w:val="22"/>
        </w:rPr>
        <w:t>.</w:t>
      </w:r>
    </w:p>
    <w:p w:rsidR="001F5922" w:rsidRDefault="001F5922" w:rsidP="00186E61">
      <w:pPr>
        <w:pStyle w:val="ListParagraph"/>
        <w:ind w:left="360"/>
        <w:jc w:val="both"/>
        <w:rPr>
          <w:rFonts w:ascii="Palatino Linotype" w:eastAsia="Times New Roman" w:hAnsi="Palatino Linotype"/>
          <w:sz w:val="22"/>
          <w:szCs w:val="22"/>
        </w:rPr>
      </w:pPr>
    </w:p>
    <w:p w:rsidR="00E34D03" w:rsidRPr="00E34D03" w:rsidRDefault="00E34D03" w:rsidP="00DF7E39">
      <w:pPr>
        <w:pStyle w:val="ListParagraph"/>
        <w:keepNext/>
        <w:spacing w:line="240" w:lineRule="auto"/>
        <w:outlineLvl w:val="0"/>
        <w:rPr>
          <w:rFonts w:ascii="Palatino Linotype" w:hAnsi="Palatino Linotype"/>
          <w:b/>
          <w:bCs/>
          <w:sz w:val="22"/>
          <w:szCs w:val="22"/>
        </w:rPr>
      </w:pPr>
      <w:r w:rsidRPr="00E34D03">
        <w:rPr>
          <w:rFonts w:ascii="Palatino Linotype" w:hAnsi="Palatino Linotype"/>
          <w:b/>
          <w:bCs/>
          <w:sz w:val="22"/>
          <w:szCs w:val="22"/>
        </w:rPr>
        <w:t>Figure 7: Trends of Currency Derivatives at NSE, MSEI and BSE (</w:t>
      </w:r>
      <w:r w:rsidRPr="00E34D03">
        <w:rPr>
          <w:rFonts w:ascii="Tahoma" w:hAnsi="Tahoma" w:cs="Tahoma"/>
          <w:b/>
          <w:bCs/>
          <w:sz w:val="22"/>
          <w:szCs w:val="22"/>
        </w:rPr>
        <w:t>₹</w:t>
      </w:r>
      <w:r w:rsidRPr="00E34D03">
        <w:rPr>
          <w:rFonts w:ascii="Palatino Linotype" w:eastAsia="Times New Roman" w:hAnsi="Palatino Linotype" w:cs="Helvetica"/>
          <w:b/>
          <w:bCs/>
          <w:sz w:val="22"/>
          <w:szCs w:val="22"/>
        </w:rPr>
        <w:t xml:space="preserve"> crore</w:t>
      </w:r>
      <w:r w:rsidRPr="00E34D03">
        <w:rPr>
          <w:rFonts w:ascii="Palatino Linotype" w:hAnsi="Palatino Linotype"/>
          <w:b/>
          <w:bCs/>
          <w:sz w:val="22"/>
          <w:szCs w:val="22"/>
        </w:rPr>
        <w:t>)</w:t>
      </w:r>
    </w:p>
    <w:p w:rsidR="00BD3EDC" w:rsidRDefault="00227721" w:rsidP="00BA2435">
      <w:pPr>
        <w:jc w:val="both"/>
        <w:rPr>
          <w:rFonts w:ascii="Palatino Linotype" w:eastAsia="Times New Roman" w:hAnsi="Palatino Linotype"/>
          <w:sz w:val="22"/>
          <w:szCs w:val="22"/>
        </w:rPr>
      </w:pPr>
      <w:r>
        <w:rPr>
          <w:noProof/>
          <w:lang w:val="en-US" w:bidi="hi-IN"/>
        </w:rPr>
        <w:drawing>
          <wp:inline distT="0" distB="0" distL="0" distR="0" wp14:anchorId="64CDDA77" wp14:editId="051CFABE">
            <wp:extent cx="6142990" cy="2245360"/>
            <wp:effectExtent l="0" t="0" r="10160" b="254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80D32" w:rsidRDefault="00780D32" w:rsidP="0032036A">
      <w:pPr>
        <w:jc w:val="both"/>
        <w:rPr>
          <w:rFonts w:ascii="Palatino Linotype" w:eastAsia="Times New Roman" w:hAnsi="Palatino Linotype"/>
          <w:sz w:val="22"/>
          <w:szCs w:val="22"/>
        </w:rPr>
      </w:pPr>
    </w:p>
    <w:p w:rsidR="0032036A" w:rsidRDefault="0032036A" w:rsidP="0032036A">
      <w:pPr>
        <w:rPr>
          <w:rFonts w:ascii="Palatino Linotype" w:hAnsi="Palatino Linotype"/>
          <w:b/>
          <w:sz w:val="22"/>
          <w:szCs w:val="22"/>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 xml:space="preserve">Interest Rate Futures at NSE and BSE </w:t>
      </w:r>
    </w:p>
    <w:p w:rsidR="0032036A" w:rsidRPr="009A0EB3" w:rsidRDefault="0032036A" w:rsidP="0032036A">
      <w:pPr>
        <w:keepNext/>
        <w:jc w:val="both"/>
        <w:rPr>
          <w:rFonts w:ascii="Palatino Linotype" w:eastAsia="Times New Roman" w:hAnsi="Palatino Linotype"/>
          <w:sz w:val="22"/>
          <w:szCs w:val="22"/>
          <w:highlight w:val="yellow"/>
        </w:rPr>
      </w:pPr>
    </w:p>
    <w:p w:rsidR="00BD3EDC" w:rsidRPr="007B7F5A" w:rsidRDefault="0032036A" w:rsidP="007B7F5A">
      <w:pPr>
        <w:pStyle w:val="ListParagraph"/>
        <w:numPr>
          <w:ilvl w:val="0"/>
          <w:numId w:val="14"/>
        </w:numPr>
        <w:jc w:val="both"/>
        <w:rPr>
          <w:rFonts w:ascii="Palatino Linotype" w:eastAsia="Times New Roman" w:hAnsi="Palatino Linotype"/>
          <w:color w:val="000000" w:themeColor="text1"/>
          <w:sz w:val="22"/>
          <w:szCs w:val="22"/>
        </w:rPr>
      </w:pPr>
      <w:r w:rsidRPr="00186E61">
        <w:rPr>
          <w:rFonts w:ascii="Palatino Linotype" w:eastAsia="Times New Roman" w:hAnsi="Palatino Linotype"/>
          <w:color w:val="000000" w:themeColor="text1"/>
          <w:sz w:val="22"/>
          <w:szCs w:val="22"/>
        </w:rPr>
        <w:t xml:space="preserve">During </w:t>
      </w:r>
      <w:r w:rsidR="007B7F5A">
        <w:rPr>
          <w:rFonts w:ascii="Palatino Linotype" w:eastAsia="Times New Roman" w:hAnsi="Palatino Linotype"/>
          <w:color w:val="000000" w:themeColor="text1"/>
          <w:sz w:val="22"/>
          <w:szCs w:val="22"/>
        </w:rPr>
        <w:t>September</w:t>
      </w:r>
      <w:r w:rsidRPr="00186E61">
        <w:rPr>
          <w:rFonts w:ascii="Palatino Linotype" w:eastAsia="Times New Roman" w:hAnsi="Palatino Linotype"/>
          <w:color w:val="000000" w:themeColor="text1"/>
          <w:sz w:val="22"/>
          <w:szCs w:val="22"/>
        </w:rPr>
        <w:t xml:space="preserve"> 2019, the monthly turnover of interest ra</w:t>
      </w:r>
      <w:r w:rsidR="00BD3EDC" w:rsidRPr="00186E61">
        <w:rPr>
          <w:rFonts w:ascii="Palatino Linotype" w:eastAsia="Times New Roman" w:hAnsi="Palatino Linotype"/>
          <w:color w:val="000000" w:themeColor="text1"/>
          <w:sz w:val="22"/>
          <w:szCs w:val="22"/>
        </w:rPr>
        <w:t xml:space="preserve">te futures at NSE </w:t>
      </w:r>
      <w:r w:rsidR="00F073AA" w:rsidRPr="00186E61">
        <w:rPr>
          <w:rFonts w:ascii="Palatino Linotype" w:eastAsia="Times New Roman" w:hAnsi="Palatino Linotype"/>
          <w:color w:val="000000" w:themeColor="text1"/>
          <w:sz w:val="22"/>
          <w:szCs w:val="22"/>
        </w:rPr>
        <w:t>de</w:t>
      </w:r>
      <w:r w:rsidR="00BD3EDC" w:rsidRPr="00186E61">
        <w:rPr>
          <w:rFonts w:ascii="Palatino Linotype" w:eastAsia="Times New Roman" w:hAnsi="Palatino Linotype"/>
          <w:color w:val="000000" w:themeColor="text1"/>
          <w:sz w:val="22"/>
          <w:szCs w:val="22"/>
        </w:rPr>
        <w:t xml:space="preserve">creased by </w:t>
      </w:r>
      <w:r w:rsidR="007B7F5A">
        <w:rPr>
          <w:rFonts w:ascii="Palatino Linotype" w:eastAsia="Times New Roman" w:hAnsi="Palatino Linotype"/>
          <w:color w:val="000000" w:themeColor="text1"/>
          <w:sz w:val="22"/>
          <w:szCs w:val="22"/>
        </w:rPr>
        <w:t>11.1</w:t>
      </w:r>
      <w:r w:rsidRPr="00186E61">
        <w:rPr>
          <w:rFonts w:ascii="Palatino Linotype" w:eastAsia="Times New Roman" w:hAnsi="Palatino Linotype"/>
          <w:color w:val="000000" w:themeColor="text1"/>
          <w:sz w:val="22"/>
          <w:szCs w:val="22"/>
        </w:rPr>
        <w:t xml:space="preserve"> per cent to </w:t>
      </w:r>
      <w:r w:rsidR="006446D3" w:rsidRPr="006446D3">
        <w:rPr>
          <w:rFonts w:ascii="Rupee Foradian" w:eastAsia="Times New Roman" w:hAnsi="Rupee Foradian"/>
          <w:b/>
          <w:color w:val="000000" w:themeColor="text1"/>
          <w:szCs w:val="22"/>
        </w:rPr>
        <w:t>`</w:t>
      </w:r>
      <w:r w:rsidR="00F073AA" w:rsidRPr="007B7F5A">
        <w:rPr>
          <w:rFonts w:ascii="Palatino Linotype" w:eastAsia="Times New Roman" w:hAnsi="Palatino Linotype"/>
          <w:color w:val="000000" w:themeColor="text1"/>
          <w:sz w:val="22"/>
          <w:szCs w:val="22"/>
        </w:rPr>
        <w:t xml:space="preserve"> </w:t>
      </w:r>
      <w:r w:rsidR="007B7F5A" w:rsidRPr="007B7F5A">
        <w:rPr>
          <w:rFonts w:ascii="Palatino Linotype" w:eastAsia="Times New Roman" w:hAnsi="Palatino Linotype"/>
          <w:color w:val="000000" w:themeColor="text1"/>
          <w:sz w:val="22"/>
          <w:szCs w:val="22"/>
        </w:rPr>
        <w:t>28,898</w:t>
      </w:r>
      <w:r w:rsidR="00F073AA" w:rsidRPr="007B7F5A">
        <w:rPr>
          <w:rFonts w:ascii="Palatino Linotype" w:eastAsia="Times New Roman" w:hAnsi="Palatino Linotype"/>
          <w:color w:val="000000" w:themeColor="text1"/>
          <w:sz w:val="22"/>
          <w:szCs w:val="22"/>
        </w:rPr>
        <w:t xml:space="preserve"> </w:t>
      </w:r>
      <w:r w:rsidRPr="007B7F5A">
        <w:rPr>
          <w:rFonts w:ascii="Palatino Linotype" w:eastAsia="Times New Roman" w:hAnsi="Palatino Linotype"/>
          <w:color w:val="000000" w:themeColor="text1"/>
          <w:sz w:val="22"/>
          <w:szCs w:val="22"/>
        </w:rPr>
        <w:t xml:space="preserve">crore from </w:t>
      </w:r>
      <w:r w:rsidR="006446D3" w:rsidRPr="006446D3">
        <w:rPr>
          <w:rFonts w:ascii="Rupee Foradian" w:eastAsia="Times New Roman" w:hAnsi="Rupee Foradian"/>
          <w:b/>
          <w:color w:val="000000" w:themeColor="text1"/>
          <w:szCs w:val="22"/>
        </w:rPr>
        <w:t>`</w:t>
      </w:r>
      <w:r w:rsidR="007B7F5A" w:rsidRPr="007B7F5A">
        <w:rPr>
          <w:rFonts w:ascii="Palatino Linotype" w:eastAsia="Times New Roman" w:hAnsi="Palatino Linotype"/>
          <w:color w:val="000000" w:themeColor="text1"/>
          <w:sz w:val="22"/>
          <w:szCs w:val="22"/>
        </w:rPr>
        <w:t xml:space="preserve"> 32,496 </w:t>
      </w:r>
      <w:r w:rsidRPr="007B7F5A">
        <w:rPr>
          <w:rFonts w:ascii="Palatino Linotype" w:eastAsia="Times New Roman" w:hAnsi="Palatino Linotype"/>
          <w:color w:val="000000" w:themeColor="text1"/>
          <w:sz w:val="22"/>
          <w:szCs w:val="22"/>
        </w:rPr>
        <w:t xml:space="preserve">crore in </w:t>
      </w:r>
      <w:r w:rsidR="007B7F5A">
        <w:rPr>
          <w:rFonts w:ascii="Palatino Linotype" w:eastAsia="Times New Roman" w:hAnsi="Palatino Linotype"/>
          <w:color w:val="000000" w:themeColor="text1"/>
          <w:sz w:val="22"/>
          <w:szCs w:val="22"/>
        </w:rPr>
        <w:t>August</w:t>
      </w:r>
      <w:r w:rsidRPr="007B7F5A">
        <w:rPr>
          <w:rFonts w:ascii="Palatino Linotype" w:eastAsia="Times New Roman" w:hAnsi="Palatino Linotype"/>
          <w:color w:val="000000" w:themeColor="text1"/>
          <w:sz w:val="22"/>
          <w:szCs w:val="22"/>
        </w:rPr>
        <w:t xml:space="preserve"> 2019. </w:t>
      </w:r>
    </w:p>
    <w:p w:rsidR="0032036A" w:rsidRPr="00C20615" w:rsidRDefault="00BD3EDC" w:rsidP="00C20615">
      <w:pPr>
        <w:pStyle w:val="ListParagraph"/>
        <w:numPr>
          <w:ilvl w:val="0"/>
          <w:numId w:val="14"/>
        </w:numPr>
        <w:jc w:val="both"/>
        <w:rPr>
          <w:rFonts w:ascii="Palatino Linotype" w:eastAsia="Times New Roman" w:hAnsi="Palatino Linotype"/>
          <w:color w:val="000000" w:themeColor="text1"/>
          <w:sz w:val="22"/>
          <w:szCs w:val="22"/>
        </w:rPr>
      </w:pPr>
      <w:r w:rsidRPr="00186E61">
        <w:rPr>
          <w:rFonts w:ascii="Palatino Linotype" w:eastAsia="Times New Roman" w:hAnsi="Palatino Linotype"/>
          <w:color w:val="000000" w:themeColor="text1"/>
          <w:sz w:val="22"/>
          <w:szCs w:val="22"/>
        </w:rPr>
        <w:lastRenderedPageBreak/>
        <w:t xml:space="preserve">The </w:t>
      </w:r>
      <w:r w:rsidR="0032036A" w:rsidRPr="00186E61">
        <w:rPr>
          <w:rFonts w:ascii="Palatino Linotype" w:eastAsia="Times New Roman" w:hAnsi="Palatino Linotype"/>
          <w:color w:val="000000" w:themeColor="text1"/>
          <w:sz w:val="22"/>
          <w:szCs w:val="22"/>
        </w:rPr>
        <w:t>monthly turnover o</w:t>
      </w:r>
      <w:r w:rsidRPr="00186E61">
        <w:rPr>
          <w:rFonts w:ascii="Palatino Linotype" w:eastAsia="Times New Roman" w:hAnsi="Palatino Linotype"/>
          <w:color w:val="000000" w:themeColor="text1"/>
          <w:sz w:val="22"/>
          <w:szCs w:val="22"/>
        </w:rPr>
        <w:t xml:space="preserve">f interest rate futures at BSE </w:t>
      </w:r>
      <w:r w:rsidR="00C24C68" w:rsidRPr="00186E61">
        <w:rPr>
          <w:rFonts w:ascii="Palatino Linotype" w:eastAsia="Times New Roman" w:hAnsi="Palatino Linotype"/>
          <w:color w:val="000000" w:themeColor="text1"/>
          <w:sz w:val="22"/>
          <w:szCs w:val="22"/>
        </w:rPr>
        <w:t>de</w:t>
      </w:r>
      <w:r w:rsidR="0032036A" w:rsidRPr="00186E61">
        <w:rPr>
          <w:rFonts w:ascii="Palatino Linotype" w:eastAsia="Times New Roman" w:hAnsi="Palatino Linotype"/>
          <w:color w:val="000000" w:themeColor="text1"/>
          <w:sz w:val="22"/>
          <w:szCs w:val="22"/>
        </w:rPr>
        <w:t xml:space="preserve">creased by </w:t>
      </w:r>
      <w:r w:rsidR="00C20615">
        <w:rPr>
          <w:rFonts w:ascii="Palatino Linotype" w:eastAsia="Times New Roman" w:hAnsi="Palatino Linotype"/>
          <w:color w:val="000000" w:themeColor="text1"/>
          <w:sz w:val="22"/>
          <w:szCs w:val="22"/>
        </w:rPr>
        <w:t>6</w:t>
      </w:r>
      <w:r w:rsidR="0032036A" w:rsidRPr="00186E61">
        <w:rPr>
          <w:rFonts w:ascii="Palatino Linotype" w:eastAsia="Times New Roman" w:hAnsi="Palatino Linotype"/>
          <w:color w:val="000000" w:themeColor="text1"/>
          <w:sz w:val="22"/>
          <w:szCs w:val="22"/>
        </w:rPr>
        <w:t xml:space="preserve"> per cent </w:t>
      </w:r>
      <w:r w:rsidR="0032036A" w:rsidRPr="00C20615">
        <w:rPr>
          <w:rFonts w:ascii="Palatino Linotype" w:eastAsia="Times New Roman" w:hAnsi="Palatino Linotype"/>
          <w:color w:val="000000" w:themeColor="text1"/>
          <w:sz w:val="22"/>
          <w:szCs w:val="22"/>
        </w:rPr>
        <w:t xml:space="preserve">to </w:t>
      </w:r>
      <w:r w:rsidR="006446D3" w:rsidRPr="006446D3">
        <w:rPr>
          <w:rFonts w:ascii="Rupee Foradian" w:eastAsia="Times New Roman" w:hAnsi="Rupee Foradian"/>
          <w:b/>
          <w:color w:val="000000" w:themeColor="text1"/>
          <w:szCs w:val="22"/>
        </w:rPr>
        <w:t>`</w:t>
      </w:r>
      <w:r w:rsidR="0032036A" w:rsidRPr="00C20615">
        <w:rPr>
          <w:rFonts w:ascii="Palatino Linotype" w:eastAsia="Times New Roman" w:hAnsi="Palatino Linotype"/>
          <w:color w:val="000000" w:themeColor="text1"/>
          <w:sz w:val="22"/>
          <w:szCs w:val="22"/>
        </w:rPr>
        <w:t xml:space="preserve"> </w:t>
      </w:r>
      <w:r w:rsidR="00C20615" w:rsidRPr="00C20615">
        <w:rPr>
          <w:rFonts w:ascii="Palatino Linotype" w:eastAsia="Times New Roman" w:hAnsi="Palatino Linotype"/>
          <w:color w:val="000000" w:themeColor="text1"/>
          <w:sz w:val="22"/>
          <w:szCs w:val="22"/>
        </w:rPr>
        <w:t xml:space="preserve">11,213 </w:t>
      </w:r>
      <w:r w:rsidR="0032036A" w:rsidRPr="00186E61">
        <w:rPr>
          <w:rFonts w:ascii="Palatino Linotype" w:eastAsia="Times New Roman" w:hAnsi="Palatino Linotype"/>
          <w:color w:val="000000" w:themeColor="text1"/>
          <w:sz w:val="22"/>
          <w:szCs w:val="22"/>
        </w:rPr>
        <w:t>crore</w:t>
      </w:r>
      <w:r w:rsidR="0032036A" w:rsidRPr="00C20615">
        <w:rPr>
          <w:rFonts w:ascii="Palatino Linotype" w:eastAsia="Times New Roman" w:hAnsi="Palatino Linotype"/>
          <w:color w:val="000000" w:themeColor="text1"/>
          <w:sz w:val="22"/>
          <w:szCs w:val="22"/>
        </w:rPr>
        <w:t xml:space="preserve"> </w:t>
      </w:r>
      <w:r w:rsidR="0032036A" w:rsidRPr="00186E61">
        <w:rPr>
          <w:rFonts w:ascii="Palatino Linotype" w:eastAsia="Times New Roman" w:hAnsi="Palatino Linotype"/>
          <w:color w:val="000000" w:themeColor="text1"/>
          <w:sz w:val="22"/>
          <w:szCs w:val="22"/>
        </w:rPr>
        <w:t xml:space="preserve">from </w:t>
      </w:r>
      <w:r w:rsidR="006446D3" w:rsidRPr="006446D3">
        <w:rPr>
          <w:rFonts w:ascii="Rupee Foradian" w:eastAsia="Times New Roman" w:hAnsi="Rupee Foradian"/>
          <w:b/>
          <w:color w:val="000000" w:themeColor="text1"/>
          <w:szCs w:val="22"/>
        </w:rPr>
        <w:t>`</w:t>
      </w:r>
      <w:r w:rsidR="00C20615">
        <w:rPr>
          <w:rFonts w:ascii="Palatino Linotype" w:eastAsia="Times New Roman" w:hAnsi="Palatino Linotype"/>
          <w:color w:val="000000" w:themeColor="text1"/>
          <w:sz w:val="22"/>
          <w:szCs w:val="22"/>
        </w:rPr>
        <w:t xml:space="preserve"> </w:t>
      </w:r>
      <w:r w:rsidR="00C20615" w:rsidRPr="00C20615">
        <w:rPr>
          <w:rFonts w:ascii="Palatino Linotype" w:eastAsia="Times New Roman" w:hAnsi="Palatino Linotype"/>
          <w:color w:val="000000" w:themeColor="text1"/>
          <w:sz w:val="22"/>
          <w:szCs w:val="22"/>
        </w:rPr>
        <w:t xml:space="preserve">11,924 </w:t>
      </w:r>
      <w:r w:rsidR="00C24C68" w:rsidRPr="00C20615">
        <w:rPr>
          <w:rFonts w:ascii="Palatino Linotype" w:eastAsia="Times New Roman" w:hAnsi="Palatino Linotype"/>
          <w:color w:val="000000" w:themeColor="text1"/>
          <w:sz w:val="22"/>
          <w:szCs w:val="22"/>
        </w:rPr>
        <w:t xml:space="preserve"> </w:t>
      </w:r>
      <w:r w:rsidR="0032036A" w:rsidRPr="00C20615">
        <w:rPr>
          <w:rFonts w:ascii="Palatino Linotype" w:eastAsia="Times New Roman" w:hAnsi="Palatino Linotype"/>
          <w:color w:val="000000" w:themeColor="text1"/>
          <w:sz w:val="22"/>
          <w:szCs w:val="22"/>
        </w:rPr>
        <w:t>crore</w:t>
      </w:r>
      <w:r w:rsidRPr="00C20615">
        <w:rPr>
          <w:rFonts w:ascii="Palatino Linotype" w:eastAsia="Times New Roman" w:hAnsi="Palatino Linotype"/>
          <w:color w:val="000000" w:themeColor="text1"/>
          <w:sz w:val="22"/>
          <w:szCs w:val="22"/>
        </w:rPr>
        <w:t xml:space="preserve"> during the same period</w:t>
      </w:r>
      <w:r w:rsidR="0032036A" w:rsidRPr="00C20615">
        <w:rPr>
          <w:rFonts w:ascii="Palatino Linotype" w:eastAsia="Times New Roman" w:hAnsi="Palatino Linotype"/>
          <w:color w:val="000000" w:themeColor="text1"/>
          <w:sz w:val="22"/>
          <w:szCs w:val="22"/>
        </w:rPr>
        <w:t xml:space="preserve">. </w:t>
      </w:r>
    </w:p>
    <w:p w:rsidR="00E34D03" w:rsidRPr="00E34D03" w:rsidRDefault="00E34D03" w:rsidP="00E34D03">
      <w:pPr>
        <w:pStyle w:val="ListParagraph"/>
        <w:rPr>
          <w:rFonts w:ascii="Palatino Linotype" w:eastAsia="Times New Roman" w:hAnsi="Palatino Linotype" w:cs="Arial"/>
          <w:color w:val="000000"/>
          <w:sz w:val="22"/>
          <w:szCs w:val="22"/>
        </w:rPr>
      </w:pPr>
    </w:p>
    <w:p w:rsidR="00E34D03" w:rsidRPr="00E34D03" w:rsidRDefault="00E34D03" w:rsidP="00DF7E39">
      <w:pPr>
        <w:pStyle w:val="ListParagraph"/>
        <w:spacing w:line="240" w:lineRule="auto"/>
        <w:outlineLvl w:val="0"/>
        <w:rPr>
          <w:rFonts w:ascii="Palatino Linotype" w:hAnsi="Palatino Linotype"/>
          <w:b/>
          <w:color w:val="000000" w:themeColor="text1"/>
          <w:sz w:val="22"/>
          <w:szCs w:val="22"/>
        </w:rPr>
      </w:pPr>
      <w:r w:rsidRPr="00E34D03">
        <w:rPr>
          <w:rFonts w:ascii="Palatino Linotype" w:hAnsi="Palatino Linotype"/>
          <w:b/>
          <w:color w:val="000000" w:themeColor="text1"/>
          <w:sz w:val="22"/>
          <w:szCs w:val="22"/>
        </w:rPr>
        <w:t>Figure 8: Trends of Interest Rate Futures at NSE and BSE (</w:t>
      </w:r>
      <w:r w:rsidRPr="00E34D03">
        <w:rPr>
          <w:rFonts w:ascii="Tahoma" w:hAnsi="Tahoma" w:cs="Tahoma"/>
          <w:b/>
          <w:color w:val="000000" w:themeColor="text1"/>
          <w:sz w:val="22"/>
          <w:szCs w:val="22"/>
        </w:rPr>
        <w:t>₹</w:t>
      </w:r>
      <w:r w:rsidRPr="00E34D03">
        <w:rPr>
          <w:rFonts w:ascii="Palatino Linotype" w:eastAsia="Times New Roman" w:hAnsi="Palatino Linotype"/>
          <w:bCs/>
          <w:color w:val="000000" w:themeColor="text1"/>
          <w:sz w:val="22"/>
          <w:szCs w:val="22"/>
          <w:lang w:eastAsia="en-GB" w:bidi="bn-IN"/>
        </w:rPr>
        <w:t xml:space="preserve"> </w:t>
      </w:r>
      <w:r w:rsidRPr="00E34D03">
        <w:rPr>
          <w:rFonts w:ascii="Palatino Linotype" w:hAnsi="Palatino Linotype"/>
          <w:b/>
          <w:color w:val="000000" w:themeColor="text1"/>
          <w:sz w:val="22"/>
          <w:szCs w:val="22"/>
        </w:rPr>
        <w:t>crore)</w:t>
      </w:r>
    </w:p>
    <w:p w:rsidR="0032036A" w:rsidRPr="009A0EB3" w:rsidRDefault="00227721" w:rsidP="0032036A">
      <w:pPr>
        <w:jc w:val="both"/>
        <w:rPr>
          <w:rFonts w:ascii="Palatino Linotype" w:eastAsia="Times New Roman" w:hAnsi="Palatino Linotype"/>
          <w:sz w:val="22"/>
          <w:szCs w:val="22"/>
          <w:lang w:val="en-US"/>
        </w:rPr>
      </w:pPr>
      <w:r>
        <w:rPr>
          <w:noProof/>
          <w:lang w:val="en-US" w:bidi="hi-IN"/>
        </w:rPr>
        <w:drawing>
          <wp:inline distT="0" distB="0" distL="0" distR="0" wp14:anchorId="1207054D" wp14:editId="786C50D2">
            <wp:extent cx="5629276" cy="2457450"/>
            <wp:effectExtent l="0" t="0" r="9525"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036A" w:rsidRPr="009A0EB3" w:rsidRDefault="0032036A" w:rsidP="0032036A">
      <w:pPr>
        <w:jc w:val="center"/>
        <w:outlineLvl w:val="0"/>
        <w:rPr>
          <w:rFonts w:ascii="Palatino Linotype" w:hAnsi="Palatino Linotype"/>
          <w:b/>
          <w:sz w:val="22"/>
          <w:szCs w:val="22"/>
          <w:highlight w:val="yellow"/>
        </w:rPr>
      </w:pPr>
    </w:p>
    <w:p w:rsidR="0032036A" w:rsidRPr="009A0EB3" w:rsidRDefault="0032036A" w:rsidP="0032036A">
      <w:pPr>
        <w:rPr>
          <w:rFonts w:ascii="Palatino Linotype" w:hAnsi="Palatino Linotype"/>
          <w:b/>
          <w:color w:val="000099"/>
          <w:sz w:val="22"/>
          <w:szCs w:val="22"/>
        </w:rPr>
      </w:pP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Trading in Corporate Debt Market</w:t>
      </w:r>
    </w:p>
    <w:p w:rsidR="0032036A" w:rsidRPr="009A0EB3" w:rsidRDefault="0032036A" w:rsidP="0032036A">
      <w:pPr>
        <w:widowControl w:val="0"/>
        <w:ind w:left="720"/>
        <w:contextualSpacing/>
        <w:jc w:val="both"/>
        <w:rPr>
          <w:rFonts w:ascii="Palatino Linotype" w:eastAsia="Times New Roman" w:hAnsi="Palatino Linotype"/>
          <w:sz w:val="22"/>
          <w:szCs w:val="22"/>
        </w:rPr>
      </w:pPr>
    </w:p>
    <w:p w:rsidR="00BD3EDC" w:rsidRPr="003C2CFF" w:rsidRDefault="0032036A" w:rsidP="00C20615">
      <w:pPr>
        <w:pStyle w:val="ListParagraph"/>
        <w:numPr>
          <w:ilvl w:val="0"/>
          <w:numId w:val="10"/>
        </w:numPr>
        <w:jc w:val="both"/>
        <w:rPr>
          <w:rFonts w:ascii="Palatino Linotype" w:hAnsi="Palatino Linotype" w:cs="Arial"/>
          <w:bCs/>
          <w:sz w:val="22"/>
          <w:szCs w:val="22"/>
        </w:rPr>
      </w:pPr>
      <w:r w:rsidRPr="003C2CFF">
        <w:rPr>
          <w:rFonts w:ascii="Palatino Linotype" w:hAnsi="Palatino Linotype" w:cs="Arial"/>
          <w:bCs/>
          <w:sz w:val="22"/>
          <w:szCs w:val="22"/>
        </w:rPr>
        <w:t xml:space="preserve">During </w:t>
      </w:r>
      <w:r w:rsidR="00C20615">
        <w:rPr>
          <w:rFonts w:ascii="Palatino Linotype" w:hAnsi="Palatino Linotype" w:cs="Arial"/>
          <w:bCs/>
          <w:sz w:val="22"/>
          <w:szCs w:val="22"/>
        </w:rPr>
        <w:t>September</w:t>
      </w:r>
      <w:r w:rsidRPr="003C2CFF">
        <w:rPr>
          <w:rFonts w:ascii="Palatino Linotype" w:hAnsi="Palatino Linotype" w:cs="Arial"/>
          <w:bCs/>
          <w:sz w:val="22"/>
          <w:szCs w:val="22"/>
        </w:rPr>
        <w:t xml:space="preserve"> 2019, BSE </w:t>
      </w:r>
      <w:r w:rsidR="003F139B" w:rsidRPr="003C2CFF">
        <w:rPr>
          <w:rFonts w:ascii="Palatino Linotype" w:hAnsi="Palatino Linotype" w:cs="Arial"/>
          <w:bCs/>
          <w:sz w:val="22"/>
          <w:szCs w:val="22"/>
        </w:rPr>
        <w:t xml:space="preserve">noted </w:t>
      </w:r>
      <w:r w:rsidR="00C20615" w:rsidRPr="00C20615">
        <w:rPr>
          <w:rFonts w:ascii="Palatino Linotype" w:hAnsi="Palatino Linotype" w:cs="Arial"/>
          <w:bCs/>
          <w:sz w:val="22"/>
          <w:szCs w:val="22"/>
        </w:rPr>
        <w:t xml:space="preserve">3,550 </w:t>
      </w:r>
      <w:r w:rsidRPr="003C2CFF">
        <w:rPr>
          <w:rFonts w:ascii="Palatino Linotype" w:hAnsi="Palatino Linotype" w:cs="Arial"/>
          <w:bCs/>
          <w:sz w:val="22"/>
          <w:szCs w:val="22"/>
        </w:rPr>
        <w:t xml:space="preserve">trades of corporate debt with a traded value of </w:t>
      </w:r>
      <w:r w:rsidRPr="003C2CFF">
        <w:rPr>
          <w:rFonts w:ascii="Times New Roman" w:hAnsi="Times New Roman"/>
          <w:bCs/>
          <w:sz w:val="22"/>
          <w:szCs w:val="22"/>
        </w:rPr>
        <w:t>₹</w:t>
      </w:r>
      <w:r w:rsidRPr="003C2CFF">
        <w:rPr>
          <w:rFonts w:ascii="Palatino Linotype" w:hAnsi="Palatino Linotype" w:cs="Arial"/>
          <w:bCs/>
          <w:sz w:val="22"/>
          <w:szCs w:val="22"/>
        </w:rPr>
        <w:t xml:space="preserve"> </w:t>
      </w:r>
      <w:r w:rsidR="00C20615" w:rsidRPr="00C20615">
        <w:rPr>
          <w:rFonts w:ascii="Palatino Linotype" w:hAnsi="Palatino Linotype" w:cs="Arial"/>
          <w:bCs/>
          <w:sz w:val="22"/>
          <w:szCs w:val="22"/>
        </w:rPr>
        <w:t>43,012</w:t>
      </w:r>
      <w:r w:rsidR="003F139B" w:rsidRPr="003F139B">
        <w:rPr>
          <w:rFonts w:ascii="Palatino Linotype" w:hAnsi="Palatino Linotype" w:cs="Arial"/>
          <w:bCs/>
          <w:sz w:val="22"/>
          <w:szCs w:val="22"/>
        </w:rPr>
        <w:t xml:space="preserve"> </w:t>
      </w:r>
      <w:r w:rsidRPr="003C2CFF">
        <w:rPr>
          <w:rFonts w:ascii="Palatino Linotype" w:hAnsi="Palatino Linotype" w:cs="Arial"/>
          <w:bCs/>
          <w:sz w:val="22"/>
          <w:szCs w:val="22"/>
        </w:rPr>
        <w:t xml:space="preserve">crore as compared to </w:t>
      </w:r>
      <w:r w:rsidR="00C20615" w:rsidRPr="00C20615">
        <w:rPr>
          <w:rFonts w:ascii="Palatino Linotype" w:hAnsi="Palatino Linotype" w:cs="Arial"/>
          <w:bCs/>
          <w:sz w:val="22"/>
          <w:szCs w:val="22"/>
        </w:rPr>
        <w:t xml:space="preserve">4,175 trades of corporate debt with a traded value of </w:t>
      </w:r>
      <w:r w:rsidR="00C20615" w:rsidRPr="00C20615">
        <w:rPr>
          <w:rFonts w:ascii="Times New Roman" w:hAnsi="Times New Roman"/>
          <w:bCs/>
          <w:sz w:val="22"/>
          <w:szCs w:val="22"/>
        </w:rPr>
        <w:t>₹</w:t>
      </w:r>
      <w:r w:rsidR="00C20615" w:rsidRPr="00C20615">
        <w:rPr>
          <w:rFonts w:ascii="Palatino Linotype" w:hAnsi="Palatino Linotype" w:cs="Arial"/>
          <w:bCs/>
          <w:sz w:val="22"/>
          <w:szCs w:val="22"/>
        </w:rPr>
        <w:t xml:space="preserve"> 58,482 crore </w:t>
      </w:r>
      <w:r w:rsidR="003F139B">
        <w:rPr>
          <w:rFonts w:ascii="Palatino Linotype" w:hAnsi="Palatino Linotype" w:cs="Arial"/>
          <w:bCs/>
          <w:sz w:val="22"/>
          <w:szCs w:val="22"/>
        </w:rPr>
        <w:t xml:space="preserve">in </w:t>
      </w:r>
      <w:r w:rsidR="00C20615">
        <w:rPr>
          <w:rFonts w:ascii="Palatino Linotype" w:hAnsi="Palatino Linotype" w:cs="Arial"/>
          <w:bCs/>
          <w:sz w:val="22"/>
          <w:szCs w:val="22"/>
        </w:rPr>
        <w:t>August</w:t>
      </w:r>
      <w:r w:rsidR="003F139B">
        <w:rPr>
          <w:rFonts w:ascii="Palatino Linotype" w:hAnsi="Palatino Linotype" w:cs="Arial"/>
          <w:bCs/>
          <w:sz w:val="22"/>
          <w:szCs w:val="22"/>
        </w:rPr>
        <w:t xml:space="preserve"> 2019</w:t>
      </w:r>
      <w:r w:rsidRPr="003C2CFF">
        <w:rPr>
          <w:rFonts w:ascii="Palatino Linotype" w:hAnsi="Palatino Linotype" w:cs="Arial"/>
          <w:bCs/>
          <w:sz w:val="22"/>
          <w:szCs w:val="22"/>
        </w:rPr>
        <w:t xml:space="preserve">.  </w:t>
      </w:r>
    </w:p>
    <w:p w:rsidR="0032036A" w:rsidRDefault="0032036A" w:rsidP="00C20615">
      <w:pPr>
        <w:pStyle w:val="ListParagraph"/>
        <w:numPr>
          <w:ilvl w:val="0"/>
          <w:numId w:val="10"/>
        </w:numPr>
        <w:jc w:val="both"/>
        <w:rPr>
          <w:rFonts w:ascii="Palatino Linotype" w:hAnsi="Palatino Linotype" w:cs="Arial"/>
          <w:bCs/>
          <w:sz w:val="22"/>
          <w:szCs w:val="22"/>
        </w:rPr>
      </w:pPr>
      <w:r w:rsidRPr="003C2CFF">
        <w:rPr>
          <w:rFonts w:ascii="Palatino Linotype" w:hAnsi="Palatino Linotype" w:cs="Arial"/>
          <w:bCs/>
          <w:sz w:val="22"/>
          <w:szCs w:val="22"/>
        </w:rPr>
        <w:t xml:space="preserve">At NSE, </w:t>
      </w:r>
      <w:r w:rsidR="00C20615" w:rsidRPr="00C20615">
        <w:rPr>
          <w:rFonts w:ascii="Palatino Linotype" w:hAnsi="Palatino Linotype" w:cs="Arial"/>
          <w:bCs/>
          <w:sz w:val="22"/>
          <w:szCs w:val="22"/>
        </w:rPr>
        <w:t>5,297</w:t>
      </w:r>
      <w:r w:rsidR="00C20615">
        <w:rPr>
          <w:rFonts w:ascii="Palatino Linotype" w:hAnsi="Palatino Linotype" w:cs="Arial"/>
          <w:bCs/>
          <w:sz w:val="22"/>
          <w:szCs w:val="22"/>
        </w:rPr>
        <w:t xml:space="preserve"> </w:t>
      </w:r>
      <w:r w:rsidRPr="003C2CFF">
        <w:rPr>
          <w:rFonts w:ascii="Palatino Linotype" w:hAnsi="Palatino Linotype" w:cs="Arial"/>
          <w:bCs/>
          <w:sz w:val="22"/>
          <w:szCs w:val="22"/>
        </w:rPr>
        <w:t xml:space="preserve">trades were noted with a traded value of </w:t>
      </w:r>
      <w:r w:rsidRPr="003C2CFF">
        <w:rPr>
          <w:rFonts w:ascii="Times New Roman" w:hAnsi="Times New Roman"/>
          <w:bCs/>
          <w:sz w:val="22"/>
          <w:szCs w:val="22"/>
        </w:rPr>
        <w:t>₹</w:t>
      </w:r>
      <w:r w:rsidRPr="003C2CFF">
        <w:rPr>
          <w:rFonts w:ascii="Palatino Linotype" w:hAnsi="Palatino Linotype" w:cs="Arial"/>
          <w:bCs/>
          <w:sz w:val="22"/>
          <w:szCs w:val="22"/>
        </w:rPr>
        <w:t xml:space="preserve"> </w:t>
      </w:r>
      <w:r w:rsidR="00C20615" w:rsidRPr="00C20615">
        <w:rPr>
          <w:rFonts w:ascii="Palatino Linotype" w:hAnsi="Palatino Linotype" w:cs="Arial"/>
          <w:bCs/>
          <w:sz w:val="22"/>
          <w:szCs w:val="22"/>
        </w:rPr>
        <w:t>97,677</w:t>
      </w:r>
      <w:r w:rsidR="00C20615">
        <w:rPr>
          <w:rFonts w:ascii="Palatino Linotype" w:hAnsi="Palatino Linotype" w:cs="Arial"/>
          <w:bCs/>
          <w:sz w:val="22"/>
          <w:szCs w:val="22"/>
        </w:rPr>
        <w:t xml:space="preserve"> </w:t>
      </w:r>
      <w:r w:rsidRPr="003C2CFF">
        <w:rPr>
          <w:rFonts w:ascii="Palatino Linotype" w:hAnsi="Palatino Linotype" w:cs="Arial"/>
          <w:bCs/>
          <w:sz w:val="22"/>
          <w:szCs w:val="22"/>
        </w:rPr>
        <w:t xml:space="preserve">crore in </w:t>
      </w:r>
      <w:r w:rsidR="00C20615">
        <w:rPr>
          <w:rFonts w:ascii="Palatino Linotype" w:hAnsi="Palatino Linotype" w:cs="Arial"/>
          <w:bCs/>
          <w:sz w:val="22"/>
          <w:szCs w:val="22"/>
        </w:rPr>
        <w:t>September</w:t>
      </w:r>
      <w:r w:rsidRPr="003C2CFF">
        <w:rPr>
          <w:rFonts w:ascii="Palatino Linotype" w:hAnsi="Palatino Linotype" w:cs="Arial"/>
          <w:bCs/>
          <w:sz w:val="22"/>
          <w:szCs w:val="22"/>
        </w:rPr>
        <w:t xml:space="preserve"> 2019 as compared to </w:t>
      </w:r>
      <w:r w:rsidR="00C20615" w:rsidRPr="00C20615">
        <w:rPr>
          <w:rFonts w:ascii="Palatino Linotype" w:hAnsi="Palatino Linotype" w:cs="Arial"/>
          <w:bCs/>
          <w:sz w:val="22"/>
          <w:szCs w:val="22"/>
        </w:rPr>
        <w:t xml:space="preserve">6,095 trades were noted with a traded value of </w:t>
      </w:r>
      <w:r w:rsidR="00C20615" w:rsidRPr="00C20615">
        <w:rPr>
          <w:rFonts w:ascii="Times New Roman" w:hAnsi="Times New Roman"/>
          <w:bCs/>
          <w:sz w:val="22"/>
          <w:szCs w:val="22"/>
        </w:rPr>
        <w:t>₹</w:t>
      </w:r>
      <w:r w:rsidR="00C20615" w:rsidRPr="00C20615">
        <w:rPr>
          <w:rFonts w:ascii="Palatino Linotype" w:hAnsi="Palatino Linotype" w:cs="Arial"/>
          <w:bCs/>
          <w:sz w:val="22"/>
          <w:szCs w:val="22"/>
        </w:rPr>
        <w:t xml:space="preserve"> 1,04,532 crore in August 2019</w:t>
      </w:r>
      <w:r w:rsidRPr="003C2CFF">
        <w:rPr>
          <w:rFonts w:ascii="Palatino Linotype" w:hAnsi="Palatino Linotype" w:cs="Arial"/>
          <w:bCs/>
          <w:sz w:val="22"/>
          <w:szCs w:val="22"/>
        </w:rPr>
        <w:t xml:space="preserve">. </w:t>
      </w:r>
    </w:p>
    <w:p w:rsidR="00E34D03" w:rsidRDefault="00E34D03" w:rsidP="00E34D03">
      <w:pPr>
        <w:pStyle w:val="ListParagraph"/>
        <w:rPr>
          <w:rFonts w:ascii="Palatino Linotype" w:hAnsi="Palatino Linotype" w:cs="Arial"/>
          <w:bCs/>
          <w:sz w:val="22"/>
          <w:szCs w:val="22"/>
        </w:rPr>
      </w:pPr>
    </w:p>
    <w:p w:rsidR="006446D3" w:rsidRDefault="006446D3" w:rsidP="00E34D03">
      <w:pPr>
        <w:pStyle w:val="ListParagraph"/>
        <w:rPr>
          <w:rFonts w:ascii="Palatino Linotype" w:hAnsi="Palatino Linotype" w:cs="Arial"/>
          <w:bCs/>
          <w:sz w:val="22"/>
          <w:szCs w:val="22"/>
        </w:rPr>
      </w:pPr>
    </w:p>
    <w:p w:rsidR="00E34D03" w:rsidRPr="00E34D03" w:rsidRDefault="00E34D03" w:rsidP="00DF7E39">
      <w:pPr>
        <w:pStyle w:val="ListParagraph"/>
        <w:spacing w:line="240" w:lineRule="auto"/>
        <w:outlineLvl w:val="0"/>
        <w:rPr>
          <w:rFonts w:ascii="Palatino Linotype" w:hAnsi="Palatino Linotype"/>
          <w:b/>
          <w:sz w:val="22"/>
          <w:szCs w:val="22"/>
        </w:rPr>
      </w:pPr>
      <w:r w:rsidRPr="00E34D03">
        <w:rPr>
          <w:rFonts w:ascii="Palatino Linotype" w:hAnsi="Palatino Linotype"/>
          <w:b/>
          <w:sz w:val="22"/>
          <w:szCs w:val="22"/>
        </w:rPr>
        <w:t>Figure 9: Trends in Reported Turnover of Corporate Bonds (</w:t>
      </w:r>
      <w:r w:rsidRPr="00E34D03">
        <w:rPr>
          <w:rFonts w:ascii="Tahoma" w:hAnsi="Tahoma" w:cs="Tahoma"/>
          <w:b/>
          <w:sz w:val="22"/>
          <w:szCs w:val="22"/>
        </w:rPr>
        <w:t>₹</w:t>
      </w:r>
      <w:r w:rsidRPr="00E34D03">
        <w:rPr>
          <w:rFonts w:ascii="Palatino Linotype" w:eastAsia="Times New Roman" w:hAnsi="Palatino Linotype" w:cs="Garamond"/>
          <w:sz w:val="22"/>
          <w:szCs w:val="22"/>
        </w:rPr>
        <w:t xml:space="preserve"> </w:t>
      </w:r>
      <w:r w:rsidRPr="00E34D03">
        <w:rPr>
          <w:rFonts w:ascii="Palatino Linotype" w:hAnsi="Palatino Linotype"/>
          <w:b/>
          <w:sz w:val="22"/>
          <w:szCs w:val="22"/>
        </w:rPr>
        <w:t>crore)</w:t>
      </w:r>
    </w:p>
    <w:p w:rsidR="0032036A" w:rsidRDefault="00227721" w:rsidP="0032036A">
      <w:pPr>
        <w:jc w:val="center"/>
        <w:outlineLvl w:val="0"/>
        <w:rPr>
          <w:rFonts w:ascii="Palatino Linotype" w:hAnsi="Palatino Linotype"/>
          <w:b/>
          <w:sz w:val="22"/>
          <w:szCs w:val="22"/>
          <w:highlight w:val="yellow"/>
        </w:rPr>
      </w:pPr>
      <w:r>
        <w:rPr>
          <w:noProof/>
          <w:lang w:val="en-US" w:bidi="hi-IN"/>
        </w:rPr>
        <w:drawing>
          <wp:inline distT="0" distB="0" distL="0" distR="0" wp14:anchorId="2A9F0E2F" wp14:editId="2DA10D21">
            <wp:extent cx="5419726" cy="2295525"/>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2036A" w:rsidRPr="009A0EB3" w:rsidRDefault="0032036A" w:rsidP="0032036A">
      <w:pPr>
        <w:rPr>
          <w:rFonts w:ascii="Palatino Linotype" w:hAnsi="Palatino Linotype"/>
          <w:b/>
          <w:noProof/>
          <w:color w:val="000099"/>
          <w:sz w:val="22"/>
          <w:szCs w:val="22"/>
          <w:highlight w:val="yellow"/>
        </w:rPr>
      </w:pP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Institutional Investment</w:t>
      </w:r>
    </w:p>
    <w:p w:rsidR="0032036A" w:rsidRPr="009A0EB3" w:rsidRDefault="0032036A" w:rsidP="0032036A">
      <w:pPr>
        <w:widowControl w:val="0"/>
        <w:ind w:left="720"/>
        <w:contextualSpacing/>
        <w:jc w:val="both"/>
        <w:rPr>
          <w:rFonts w:ascii="Palatino Linotype" w:hAnsi="Palatino Linotype"/>
          <w:b/>
          <w:sz w:val="22"/>
          <w:szCs w:val="22"/>
        </w:rPr>
      </w:pPr>
    </w:p>
    <w:p w:rsidR="0032036A" w:rsidRPr="009A0EB3" w:rsidRDefault="0032036A" w:rsidP="0032036A">
      <w:pPr>
        <w:widowControl w:val="0"/>
        <w:numPr>
          <w:ilvl w:val="0"/>
          <w:numId w:val="1"/>
        </w:numPr>
        <w:tabs>
          <w:tab w:val="left" w:pos="0"/>
        </w:tabs>
        <w:contextualSpacing/>
        <w:jc w:val="both"/>
        <w:rPr>
          <w:rFonts w:ascii="Palatino Linotype" w:hAnsi="Palatino Linotype"/>
          <w:b/>
          <w:sz w:val="22"/>
          <w:szCs w:val="22"/>
        </w:rPr>
      </w:pPr>
      <w:r w:rsidRPr="009A0EB3">
        <w:rPr>
          <w:rFonts w:ascii="Palatino Linotype" w:hAnsi="Palatino Linotype"/>
          <w:b/>
          <w:sz w:val="22"/>
          <w:szCs w:val="22"/>
        </w:rPr>
        <w:t>Trends in Investment by Mutual Funds</w:t>
      </w:r>
    </w:p>
    <w:p w:rsidR="0032036A" w:rsidRPr="009A0EB3" w:rsidRDefault="0032036A" w:rsidP="0032036A">
      <w:pPr>
        <w:jc w:val="both"/>
        <w:rPr>
          <w:rFonts w:ascii="Palatino Linotype" w:eastAsia="Times New Roman" w:hAnsi="Palatino Linotype"/>
          <w:bCs/>
          <w:sz w:val="22"/>
          <w:szCs w:val="22"/>
        </w:rPr>
      </w:pPr>
    </w:p>
    <w:p w:rsidR="004173B2" w:rsidRDefault="004173B2" w:rsidP="0032036A">
      <w:pPr>
        <w:jc w:val="both"/>
        <w:rPr>
          <w:rFonts w:ascii="Palatino Linotype" w:hAnsi="Palatino Linotype" w:cs="Arial"/>
          <w:sz w:val="22"/>
          <w:szCs w:val="22"/>
        </w:rPr>
      </w:pPr>
    </w:p>
    <w:p w:rsidR="006F587F" w:rsidRPr="005B5C45" w:rsidRDefault="0032036A" w:rsidP="005B5C45">
      <w:pPr>
        <w:pStyle w:val="ListParagraph"/>
        <w:numPr>
          <w:ilvl w:val="0"/>
          <w:numId w:val="15"/>
        </w:numPr>
        <w:ind w:left="360"/>
        <w:jc w:val="both"/>
        <w:rPr>
          <w:rFonts w:ascii="Palatino Linotype" w:hAnsi="Palatino Linotype" w:cs="Arial"/>
          <w:sz w:val="22"/>
          <w:szCs w:val="22"/>
        </w:rPr>
      </w:pPr>
      <w:r w:rsidRPr="00186E61">
        <w:rPr>
          <w:rFonts w:ascii="Palatino Linotype" w:hAnsi="Palatino Linotype" w:cs="Arial"/>
          <w:sz w:val="22"/>
          <w:szCs w:val="22"/>
        </w:rPr>
        <w:t xml:space="preserve">The mutual fund industry saw a net </w:t>
      </w:r>
      <w:r w:rsidR="001A697A">
        <w:rPr>
          <w:rFonts w:ascii="Palatino Linotype" w:hAnsi="Palatino Linotype" w:cs="Arial"/>
          <w:sz w:val="22"/>
          <w:szCs w:val="22"/>
        </w:rPr>
        <w:t>out</w:t>
      </w:r>
      <w:r w:rsidRPr="00186E61">
        <w:rPr>
          <w:rFonts w:ascii="Palatino Linotype" w:hAnsi="Palatino Linotype" w:cs="Arial"/>
          <w:sz w:val="22"/>
          <w:szCs w:val="22"/>
        </w:rPr>
        <w:t xml:space="preserve">flow of </w:t>
      </w:r>
      <w:r w:rsidR="006446D3" w:rsidRPr="006446D3">
        <w:rPr>
          <w:rFonts w:ascii="Rupee Foradian" w:hAnsi="Rupee Foradian" w:cs="Arial"/>
          <w:b/>
          <w:szCs w:val="22"/>
        </w:rPr>
        <w:t>`</w:t>
      </w:r>
      <w:r w:rsidRPr="005B5C45">
        <w:rPr>
          <w:rFonts w:ascii="Palatino Linotype" w:hAnsi="Palatino Linotype" w:cs="Arial"/>
          <w:sz w:val="22"/>
          <w:szCs w:val="22"/>
        </w:rPr>
        <w:t xml:space="preserve"> </w:t>
      </w:r>
      <w:r w:rsidR="001A697A" w:rsidRPr="005B5C45">
        <w:rPr>
          <w:rFonts w:ascii="Palatino Linotype" w:hAnsi="Palatino Linotype" w:cs="Arial"/>
          <w:sz w:val="22"/>
          <w:szCs w:val="22"/>
        </w:rPr>
        <w:t xml:space="preserve">1,51,790 </w:t>
      </w:r>
      <w:r w:rsidRPr="00186E61">
        <w:rPr>
          <w:rFonts w:ascii="Palatino Linotype" w:hAnsi="Palatino Linotype" w:cs="Arial"/>
          <w:sz w:val="22"/>
          <w:szCs w:val="22"/>
        </w:rPr>
        <w:t xml:space="preserve">crore in </w:t>
      </w:r>
      <w:r w:rsidR="001A697A">
        <w:rPr>
          <w:rFonts w:ascii="Palatino Linotype" w:hAnsi="Palatino Linotype" w:cs="Arial"/>
          <w:sz w:val="22"/>
          <w:szCs w:val="22"/>
        </w:rPr>
        <w:t>September</w:t>
      </w:r>
      <w:r w:rsidRPr="00186E61">
        <w:rPr>
          <w:rFonts w:ascii="Palatino Linotype" w:hAnsi="Palatino Linotype" w:cs="Arial"/>
          <w:sz w:val="22"/>
          <w:szCs w:val="22"/>
        </w:rPr>
        <w:t xml:space="preserve"> 2019</w:t>
      </w:r>
      <w:r w:rsidR="009A6127" w:rsidRPr="00186E61">
        <w:rPr>
          <w:rFonts w:ascii="Palatino Linotype" w:hAnsi="Palatino Linotype" w:cs="Arial"/>
          <w:sz w:val="22"/>
          <w:szCs w:val="22"/>
        </w:rPr>
        <w:t xml:space="preserve"> compared to </w:t>
      </w:r>
      <w:r w:rsidR="001A697A" w:rsidRPr="00186E61">
        <w:rPr>
          <w:rFonts w:ascii="Palatino Linotype" w:hAnsi="Palatino Linotype" w:cs="Arial"/>
          <w:sz w:val="22"/>
          <w:szCs w:val="22"/>
        </w:rPr>
        <w:t xml:space="preserve">a net inflow of </w:t>
      </w:r>
      <w:r w:rsidR="006446D3" w:rsidRPr="006446D3">
        <w:rPr>
          <w:rFonts w:ascii="Rupee Foradian" w:hAnsi="Rupee Foradian" w:cs="Arial"/>
          <w:b/>
          <w:szCs w:val="22"/>
        </w:rPr>
        <w:t>`</w:t>
      </w:r>
      <w:r w:rsidR="001A697A" w:rsidRPr="005B5C45">
        <w:rPr>
          <w:rFonts w:ascii="Palatino Linotype" w:hAnsi="Palatino Linotype" w:cs="Arial"/>
          <w:sz w:val="22"/>
          <w:szCs w:val="22"/>
        </w:rPr>
        <w:t xml:space="preserve"> 1,02,538 </w:t>
      </w:r>
      <w:r w:rsidR="001A697A" w:rsidRPr="00186E61">
        <w:rPr>
          <w:rFonts w:ascii="Palatino Linotype" w:hAnsi="Palatino Linotype" w:cs="Arial"/>
          <w:sz w:val="22"/>
          <w:szCs w:val="22"/>
        </w:rPr>
        <w:t>crore in August 2019</w:t>
      </w:r>
      <w:r w:rsidR="006F587F" w:rsidRPr="00186E61">
        <w:rPr>
          <w:rFonts w:ascii="Palatino Linotype" w:hAnsi="Palatino Linotype" w:cs="Arial"/>
          <w:sz w:val="22"/>
          <w:szCs w:val="22"/>
        </w:rPr>
        <w:t>.</w:t>
      </w:r>
    </w:p>
    <w:p w:rsidR="006F587F" w:rsidRPr="005B5C45" w:rsidRDefault="009A6127" w:rsidP="005B5C45">
      <w:pPr>
        <w:pStyle w:val="ListParagraph"/>
        <w:numPr>
          <w:ilvl w:val="0"/>
          <w:numId w:val="15"/>
        </w:numPr>
        <w:ind w:left="360"/>
        <w:jc w:val="both"/>
        <w:rPr>
          <w:rFonts w:ascii="Palatino Linotype" w:hAnsi="Palatino Linotype" w:cs="Arial"/>
          <w:sz w:val="22"/>
          <w:szCs w:val="22"/>
        </w:rPr>
      </w:pPr>
      <w:r w:rsidRPr="00186E61">
        <w:rPr>
          <w:rFonts w:ascii="Palatino Linotype" w:hAnsi="Palatino Linotype" w:cs="Arial"/>
          <w:sz w:val="22"/>
          <w:szCs w:val="22"/>
        </w:rPr>
        <w:t>In terms of category of scheme,</w:t>
      </w:r>
      <w:r w:rsidR="005A3028" w:rsidRPr="00186E61">
        <w:rPr>
          <w:rFonts w:ascii="Palatino Linotype" w:hAnsi="Palatino Linotype" w:cs="Arial"/>
          <w:sz w:val="22"/>
          <w:szCs w:val="22"/>
        </w:rPr>
        <w:t xml:space="preserve"> during </w:t>
      </w:r>
      <w:r w:rsidR="001A697A">
        <w:rPr>
          <w:rFonts w:ascii="Palatino Linotype" w:hAnsi="Palatino Linotype" w:cs="Arial"/>
          <w:sz w:val="22"/>
          <w:szCs w:val="22"/>
        </w:rPr>
        <w:t>September</w:t>
      </w:r>
      <w:r w:rsidR="005A3028" w:rsidRPr="00186E61">
        <w:rPr>
          <w:rFonts w:ascii="Palatino Linotype" w:hAnsi="Palatino Linotype" w:cs="Arial"/>
          <w:sz w:val="22"/>
          <w:szCs w:val="22"/>
        </w:rPr>
        <w:t xml:space="preserve"> 2019</w:t>
      </w:r>
      <w:r w:rsidR="006F587F" w:rsidRPr="00186E61">
        <w:rPr>
          <w:rFonts w:ascii="Palatino Linotype" w:hAnsi="Palatino Linotype" w:cs="Arial"/>
          <w:sz w:val="22"/>
          <w:szCs w:val="22"/>
        </w:rPr>
        <w:t>, open</w:t>
      </w:r>
      <w:r w:rsidR="005A3028" w:rsidRPr="00186E61">
        <w:rPr>
          <w:rFonts w:ascii="Palatino Linotype" w:hAnsi="Palatino Linotype" w:cs="Arial"/>
          <w:sz w:val="22"/>
          <w:szCs w:val="22"/>
        </w:rPr>
        <w:t xml:space="preserve"> ended schemes </w:t>
      </w:r>
      <w:r w:rsidR="001E51C8">
        <w:rPr>
          <w:rFonts w:ascii="Palatino Linotype" w:hAnsi="Palatino Linotype" w:cs="Arial"/>
          <w:sz w:val="22"/>
          <w:szCs w:val="22"/>
        </w:rPr>
        <w:t>liquidated</w:t>
      </w:r>
      <w:r w:rsidR="005A3028" w:rsidRPr="00186E61">
        <w:rPr>
          <w:rFonts w:ascii="Palatino Linotype" w:hAnsi="Palatino Linotype" w:cs="Arial"/>
          <w:sz w:val="22"/>
          <w:szCs w:val="22"/>
        </w:rPr>
        <w:t xml:space="preserve"> </w:t>
      </w:r>
      <w:r w:rsidR="006446D3" w:rsidRPr="006446D3">
        <w:rPr>
          <w:rFonts w:ascii="Rupee Foradian" w:hAnsi="Rupee Foradian" w:cs="Arial"/>
          <w:b/>
          <w:szCs w:val="22"/>
        </w:rPr>
        <w:t>`</w:t>
      </w:r>
      <w:r w:rsidR="002E627C">
        <w:rPr>
          <w:rFonts w:ascii="Rupee Foradian" w:hAnsi="Rupee Foradian" w:cs="Arial"/>
          <w:b/>
          <w:szCs w:val="22"/>
        </w:rPr>
        <w:t xml:space="preserve"> </w:t>
      </w:r>
      <w:r w:rsidR="001E51C8" w:rsidRPr="005B5C45">
        <w:rPr>
          <w:rFonts w:ascii="Palatino Linotype" w:hAnsi="Palatino Linotype" w:cs="Arial"/>
          <w:sz w:val="22"/>
          <w:szCs w:val="22"/>
        </w:rPr>
        <w:t>1</w:t>
      </w:r>
      <w:r w:rsidR="002E627C">
        <w:rPr>
          <w:rFonts w:ascii="Palatino Linotype" w:hAnsi="Palatino Linotype" w:cs="Arial"/>
          <w:sz w:val="22"/>
          <w:szCs w:val="22"/>
        </w:rPr>
        <w:t>,</w:t>
      </w:r>
      <w:r w:rsidR="001E51C8" w:rsidRPr="005B5C45">
        <w:rPr>
          <w:rFonts w:ascii="Palatino Linotype" w:hAnsi="Palatino Linotype" w:cs="Arial"/>
          <w:sz w:val="22"/>
          <w:szCs w:val="22"/>
        </w:rPr>
        <w:t xml:space="preserve">47,735 </w:t>
      </w:r>
      <w:r w:rsidR="005A3028" w:rsidRPr="005B5C45">
        <w:rPr>
          <w:rFonts w:ascii="Palatino Linotype" w:hAnsi="Palatino Linotype" w:cs="Arial"/>
          <w:sz w:val="22"/>
          <w:szCs w:val="22"/>
        </w:rPr>
        <w:t xml:space="preserve">crore of which </w:t>
      </w:r>
      <w:r w:rsidR="006446D3" w:rsidRPr="006446D3">
        <w:rPr>
          <w:rFonts w:ascii="Rupee Foradian" w:hAnsi="Rupee Foradian" w:cs="Arial"/>
          <w:b/>
          <w:szCs w:val="22"/>
        </w:rPr>
        <w:t>`</w:t>
      </w:r>
      <w:r w:rsidR="006F587F" w:rsidRPr="005B5C45">
        <w:rPr>
          <w:rFonts w:ascii="Palatino Linotype" w:hAnsi="Palatino Linotype" w:cs="Arial"/>
          <w:sz w:val="22"/>
          <w:szCs w:val="22"/>
        </w:rPr>
        <w:t xml:space="preserve"> </w:t>
      </w:r>
      <w:r w:rsidR="001E51C8" w:rsidRPr="005B5C45">
        <w:rPr>
          <w:rFonts w:ascii="Palatino Linotype" w:hAnsi="Palatino Linotype" w:cs="Arial"/>
          <w:sz w:val="22"/>
          <w:szCs w:val="22"/>
        </w:rPr>
        <w:t>1,58,033</w:t>
      </w:r>
      <w:r w:rsidR="006F587F" w:rsidRPr="005B5C45">
        <w:rPr>
          <w:rFonts w:ascii="Palatino Linotype" w:hAnsi="Palatino Linotype" w:cs="Arial"/>
          <w:sz w:val="22"/>
          <w:szCs w:val="22"/>
        </w:rPr>
        <w:t xml:space="preserve"> crore </w:t>
      </w:r>
      <w:r w:rsidR="005A3028" w:rsidRPr="005B5C45">
        <w:rPr>
          <w:rFonts w:ascii="Palatino Linotype" w:hAnsi="Palatino Linotype" w:cs="Arial"/>
          <w:sz w:val="22"/>
          <w:szCs w:val="22"/>
        </w:rPr>
        <w:t>mobilised through</w:t>
      </w:r>
      <w:r w:rsidR="0032036A" w:rsidRPr="00186E61">
        <w:rPr>
          <w:rFonts w:ascii="Palatino Linotype" w:hAnsi="Palatino Linotype" w:cs="Arial"/>
          <w:sz w:val="22"/>
          <w:szCs w:val="22"/>
        </w:rPr>
        <w:t xml:space="preserve"> </w:t>
      </w:r>
      <w:r w:rsidR="006F587F" w:rsidRPr="00186E61">
        <w:rPr>
          <w:rFonts w:ascii="Palatino Linotype" w:hAnsi="Palatino Linotype" w:cs="Arial"/>
          <w:sz w:val="22"/>
          <w:szCs w:val="22"/>
        </w:rPr>
        <w:t>Income/Debt Oriented Schemes</w:t>
      </w:r>
      <w:r w:rsidR="001E51C8">
        <w:rPr>
          <w:rFonts w:ascii="Palatino Linotype" w:hAnsi="Palatino Linotype" w:cs="Arial"/>
          <w:sz w:val="22"/>
          <w:szCs w:val="22"/>
        </w:rPr>
        <w:t xml:space="preserve">. Further, </w:t>
      </w:r>
      <w:r w:rsidR="001E51C8" w:rsidRPr="00186E61">
        <w:rPr>
          <w:rFonts w:ascii="Palatino Linotype" w:hAnsi="Palatino Linotype" w:cs="Arial"/>
          <w:sz w:val="22"/>
          <w:szCs w:val="22"/>
        </w:rPr>
        <w:t xml:space="preserve">growth/equity oriented schemes </w:t>
      </w:r>
      <w:r w:rsidR="001E51C8">
        <w:rPr>
          <w:rFonts w:ascii="Palatino Linotype" w:hAnsi="Palatino Linotype" w:cs="Arial"/>
          <w:sz w:val="22"/>
          <w:szCs w:val="22"/>
        </w:rPr>
        <w:t xml:space="preserve">mobilized </w:t>
      </w:r>
      <w:r w:rsidR="006F587F" w:rsidRPr="00186E61">
        <w:rPr>
          <w:rFonts w:ascii="Palatino Linotype" w:hAnsi="Palatino Linotype" w:cs="Arial"/>
          <w:sz w:val="22"/>
          <w:szCs w:val="22"/>
        </w:rPr>
        <w:t xml:space="preserve">by </w:t>
      </w:r>
      <w:r w:rsidR="006446D3" w:rsidRPr="006446D3">
        <w:rPr>
          <w:rFonts w:ascii="Rupee Foradian" w:hAnsi="Rupee Foradian" w:cs="Arial"/>
          <w:b/>
          <w:szCs w:val="22"/>
        </w:rPr>
        <w:t>`</w:t>
      </w:r>
      <w:r w:rsidR="006F587F" w:rsidRPr="00186E61">
        <w:rPr>
          <w:rFonts w:ascii="Palatino Linotype" w:hAnsi="Palatino Linotype" w:cs="Arial"/>
          <w:sz w:val="22"/>
          <w:szCs w:val="22"/>
        </w:rPr>
        <w:t xml:space="preserve"> </w:t>
      </w:r>
      <w:r w:rsidR="001E51C8" w:rsidRPr="005B5C45">
        <w:rPr>
          <w:rFonts w:ascii="Palatino Linotype" w:hAnsi="Palatino Linotype" w:cs="Arial"/>
          <w:sz w:val="22"/>
          <w:szCs w:val="22"/>
        </w:rPr>
        <w:t>6,609 crore,</w:t>
      </w:r>
      <w:r w:rsidR="006F587F" w:rsidRPr="00186E61">
        <w:rPr>
          <w:rFonts w:ascii="Palatino Linotype" w:hAnsi="Palatino Linotype" w:cs="Arial"/>
          <w:sz w:val="22"/>
          <w:szCs w:val="22"/>
        </w:rPr>
        <w:t xml:space="preserve"> </w:t>
      </w:r>
      <w:r w:rsidR="001E51C8" w:rsidRPr="001E51C8">
        <w:rPr>
          <w:rFonts w:ascii="Palatino Linotype" w:hAnsi="Palatino Linotype" w:cs="Arial"/>
          <w:sz w:val="22"/>
          <w:szCs w:val="22"/>
        </w:rPr>
        <w:t xml:space="preserve">Hybrid Schemes </w:t>
      </w:r>
      <w:r w:rsidR="001E51C8">
        <w:rPr>
          <w:rFonts w:ascii="Palatino Linotype" w:hAnsi="Palatino Linotype" w:cs="Arial"/>
          <w:sz w:val="22"/>
          <w:szCs w:val="22"/>
        </w:rPr>
        <w:t xml:space="preserve">mobilized </w:t>
      </w:r>
      <w:r w:rsidR="006446D3" w:rsidRPr="006446D3">
        <w:rPr>
          <w:rFonts w:ascii="Rupee Foradian" w:hAnsi="Rupee Foradian" w:cs="Arial"/>
          <w:b/>
          <w:szCs w:val="22"/>
        </w:rPr>
        <w:t>`</w:t>
      </w:r>
      <w:r w:rsidR="005A3028" w:rsidRPr="00186E61">
        <w:rPr>
          <w:rFonts w:ascii="Palatino Linotype" w:hAnsi="Palatino Linotype" w:cs="Arial"/>
          <w:sz w:val="22"/>
          <w:szCs w:val="22"/>
        </w:rPr>
        <w:t xml:space="preserve"> </w:t>
      </w:r>
      <w:r w:rsidR="001E51C8" w:rsidRPr="005B5C45">
        <w:rPr>
          <w:rFonts w:ascii="Palatino Linotype" w:hAnsi="Palatino Linotype" w:cs="Arial"/>
          <w:sz w:val="22"/>
          <w:szCs w:val="22"/>
        </w:rPr>
        <w:t xml:space="preserve">2,028 </w:t>
      </w:r>
      <w:r w:rsidR="005A3028" w:rsidRPr="005B5C45">
        <w:rPr>
          <w:rFonts w:ascii="Palatino Linotype" w:hAnsi="Palatino Linotype" w:cs="Arial"/>
          <w:sz w:val="22"/>
          <w:szCs w:val="22"/>
        </w:rPr>
        <w:t>crore</w:t>
      </w:r>
      <w:r w:rsidR="001E51C8" w:rsidRPr="005B5C45">
        <w:rPr>
          <w:rFonts w:ascii="Palatino Linotype" w:hAnsi="Palatino Linotype" w:cs="Arial"/>
          <w:sz w:val="22"/>
          <w:szCs w:val="22"/>
        </w:rPr>
        <w:t xml:space="preserve">, other schemes </w:t>
      </w:r>
      <w:r w:rsidR="001E51C8" w:rsidRPr="00186E61">
        <w:rPr>
          <w:rFonts w:ascii="Palatino Linotype" w:hAnsi="Palatino Linotype" w:cs="Arial"/>
          <w:sz w:val="22"/>
          <w:szCs w:val="22"/>
        </w:rPr>
        <w:t xml:space="preserve">(ETFs) </w:t>
      </w:r>
      <w:r w:rsidR="001E51C8">
        <w:rPr>
          <w:rFonts w:ascii="Palatino Linotype" w:hAnsi="Palatino Linotype" w:cs="Arial"/>
          <w:sz w:val="22"/>
          <w:szCs w:val="22"/>
        </w:rPr>
        <w:t xml:space="preserve">mobilised </w:t>
      </w:r>
      <w:r w:rsidR="006446D3" w:rsidRPr="006446D3">
        <w:rPr>
          <w:rFonts w:ascii="Rupee Foradian" w:hAnsi="Rupee Foradian" w:cs="Arial"/>
          <w:b/>
          <w:szCs w:val="22"/>
        </w:rPr>
        <w:t>`</w:t>
      </w:r>
      <w:r w:rsidR="001E51C8">
        <w:rPr>
          <w:rFonts w:ascii="Palatino Linotype" w:hAnsi="Palatino Linotype" w:cs="Arial"/>
          <w:sz w:val="22"/>
          <w:szCs w:val="22"/>
        </w:rPr>
        <w:t xml:space="preserve"> </w:t>
      </w:r>
      <w:r w:rsidR="001E51C8" w:rsidRPr="001E51C8">
        <w:rPr>
          <w:rFonts w:ascii="Palatino Linotype" w:hAnsi="Palatino Linotype" w:cs="Arial"/>
          <w:sz w:val="22"/>
          <w:szCs w:val="22"/>
        </w:rPr>
        <w:t>1,521</w:t>
      </w:r>
      <w:r w:rsidR="001E51C8">
        <w:rPr>
          <w:rFonts w:ascii="Palatino Linotype" w:hAnsi="Palatino Linotype" w:cs="Arial"/>
          <w:sz w:val="22"/>
          <w:szCs w:val="22"/>
        </w:rPr>
        <w:t xml:space="preserve"> crore </w:t>
      </w:r>
      <w:r w:rsidR="005A3028" w:rsidRPr="005B5C45">
        <w:rPr>
          <w:rFonts w:ascii="Palatino Linotype" w:hAnsi="Palatino Linotype" w:cs="Arial"/>
          <w:sz w:val="22"/>
          <w:szCs w:val="22"/>
        </w:rPr>
        <w:t xml:space="preserve">and </w:t>
      </w:r>
      <w:r w:rsidR="006446D3" w:rsidRPr="006446D3">
        <w:rPr>
          <w:rFonts w:ascii="Rupee Foradian" w:hAnsi="Rupee Foradian" w:cs="Arial"/>
          <w:b/>
          <w:szCs w:val="22"/>
        </w:rPr>
        <w:t>`</w:t>
      </w:r>
      <w:r w:rsidR="005A3028" w:rsidRPr="005B5C45">
        <w:rPr>
          <w:rFonts w:ascii="Palatino Linotype" w:hAnsi="Palatino Linotype" w:cs="Arial"/>
          <w:sz w:val="22"/>
          <w:szCs w:val="22"/>
        </w:rPr>
        <w:t xml:space="preserve"> </w:t>
      </w:r>
      <w:r w:rsidR="006F587F" w:rsidRPr="005B5C45">
        <w:rPr>
          <w:rFonts w:ascii="Palatino Linotype" w:hAnsi="Palatino Linotype" w:cs="Arial"/>
          <w:sz w:val="22"/>
          <w:szCs w:val="22"/>
        </w:rPr>
        <w:t>14</w:t>
      </w:r>
      <w:r w:rsidR="001E51C8" w:rsidRPr="005B5C45">
        <w:rPr>
          <w:rFonts w:ascii="Palatino Linotype" w:hAnsi="Palatino Linotype" w:cs="Arial"/>
          <w:sz w:val="22"/>
          <w:szCs w:val="22"/>
        </w:rPr>
        <w:t>0</w:t>
      </w:r>
      <w:r w:rsidR="005A3028" w:rsidRPr="005B5C45">
        <w:rPr>
          <w:rFonts w:ascii="Palatino Linotype" w:hAnsi="Palatino Linotype" w:cs="Arial"/>
          <w:sz w:val="22"/>
          <w:szCs w:val="22"/>
        </w:rPr>
        <w:t xml:space="preserve"> crore </w:t>
      </w:r>
      <w:r w:rsidR="001E51C8" w:rsidRPr="005B5C45">
        <w:rPr>
          <w:rFonts w:ascii="Palatino Linotype" w:hAnsi="Palatino Linotype" w:cs="Arial"/>
          <w:sz w:val="22"/>
          <w:szCs w:val="22"/>
        </w:rPr>
        <w:t xml:space="preserve">mobilized </w:t>
      </w:r>
      <w:r w:rsidR="005A3028" w:rsidRPr="005B5C45">
        <w:rPr>
          <w:rFonts w:ascii="Palatino Linotype" w:hAnsi="Palatino Linotype" w:cs="Arial"/>
          <w:sz w:val="22"/>
          <w:szCs w:val="22"/>
        </w:rPr>
        <w:t xml:space="preserve">through Solution </w:t>
      </w:r>
      <w:r w:rsidR="001E51C8" w:rsidRPr="005B5C45">
        <w:rPr>
          <w:rFonts w:ascii="Palatino Linotype" w:hAnsi="Palatino Linotype" w:cs="Arial"/>
          <w:sz w:val="22"/>
          <w:szCs w:val="22"/>
        </w:rPr>
        <w:t>Oriented Schemes</w:t>
      </w:r>
      <w:r w:rsidR="005A3028" w:rsidRPr="005B5C45">
        <w:rPr>
          <w:rFonts w:ascii="Palatino Linotype" w:hAnsi="Palatino Linotype" w:cs="Arial"/>
          <w:sz w:val="22"/>
          <w:szCs w:val="22"/>
        </w:rPr>
        <w:t>.</w:t>
      </w:r>
    </w:p>
    <w:p w:rsidR="005A3028" w:rsidRPr="002576F1" w:rsidRDefault="006F587F" w:rsidP="005B5C45">
      <w:pPr>
        <w:pStyle w:val="ListParagraph"/>
        <w:numPr>
          <w:ilvl w:val="0"/>
          <w:numId w:val="15"/>
        </w:numPr>
        <w:ind w:left="360"/>
        <w:jc w:val="both"/>
        <w:rPr>
          <w:rFonts w:ascii="Palatino Linotype" w:hAnsi="Palatino Linotype" w:cs="Arial"/>
          <w:sz w:val="22"/>
          <w:szCs w:val="22"/>
        </w:rPr>
      </w:pPr>
      <w:r w:rsidRPr="002576F1">
        <w:rPr>
          <w:rFonts w:ascii="Palatino Linotype" w:hAnsi="Palatino Linotype" w:cs="Arial"/>
          <w:sz w:val="22"/>
          <w:szCs w:val="22"/>
        </w:rPr>
        <w:t xml:space="preserve">There </w:t>
      </w:r>
      <w:r w:rsidR="00D86166" w:rsidRPr="002576F1">
        <w:rPr>
          <w:rFonts w:ascii="Palatino Linotype" w:hAnsi="Palatino Linotype" w:cs="Arial"/>
          <w:sz w:val="22"/>
          <w:szCs w:val="22"/>
        </w:rPr>
        <w:t>was</w:t>
      </w:r>
      <w:r w:rsidR="002576F1" w:rsidRPr="002576F1">
        <w:rPr>
          <w:rFonts w:ascii="Palatino Linotype" w:hAnsi="Palatino Linotype" w:cs="Arial"/>
          <w:sz w:val="22"/>
          <w:szCs w:val="22"/>
        </w:rPr>
        <w:t xml:space="preserve"> a</w:t>
      </w:r>
      <w:r w:rsidRPr="002576F1">
        <w:rPr>
          <w:rFonts w:ascii="Palatino Linotype" w:hAnsi="Palatino Linotype" w:cs="Arial"/>
          <w:sz w:val="22"/>
          <w:szCs w:val="22"/>
        </w:rPr>
        <w:t xml:space="preserve"> </w:t>
      </w:r>
      <w:r w:rsidR="002576F1" w:rsidRPr="002576F1">
        <w:rPr>
          <w:rFonts w:ascii="Palatino Linotype" w:hAnsi="Palatino Linotype" w:cs="Arial"/>
          <w:sz w:val="22"/>
          <w:szCs w:val="22"/>
        </w:rPr>
        <w:t>net redemption of</w:t>
      </w:r>
      <w:r w:rsidRPr="002576F1">
        <w:rPr>
          <w:rFonts w:ascii="Palatino Linotype" w:hAnsi="Palatino Linotype" w:cs="Arial"/>
          <w:sz w:val="22"/>
          <w:szCs w:val="22"/>
        </w:rPr>
        <w:t xml:space="preserve"> </w:t>
      </w:r>
      <w:r w:rsidR="006446D3" w:rsidRPr="002576F1">
        <w:rPr>
          <w:rFonts w:ascii="Rupee Foradian" w:hAnsi="Rupee Foradian" w:cs="Arial"/>
          <w:b/>
          <w:szCs w:val="22"/>
        </w:rPr>
        <w:t>`</w:t>
      </w:r>
      <w:r w:rsidRPr="002576F1">
        <w:rPr>
          <w:rFonts w:ascii="Palatino Linotype" w:hAnsi="Palatino Linotype" w:cs="Arial"/>
          <w:sz w:val="22"/>
          <w:szCs w:val="22"/>
        </w:rPr>
        <w:t xml:space="preserve"> </w:t>
      </w:r>
      <w:r w:rsidR="001E51C8" w:rsidRPr="002576F1">
        <w:rPr>
          <w:rFonts w:ascii="Palatino Linotype" w:hAnsi="Palatino Linotype" w:cs="Arial"/>
          <w:sz w:val="22"/>
          <w:szCs w:val="22"/>
        </w:rPr>
        <w:t xml:space="preserve">4,032 </w:t>
      </w:r>
      <w:r w:rsidRPr="002576F1">
        <w:rPr>
          <w:rFonts w:ascii="Palatino Linotype" w:hAnsi="Palatino Linotype" w:cs="Arial"/>
          <w:sz w:val="22"/>
          <w:szCs w:val="22"/>
        </w:rPr>
        <w:t xml:space="preserve">crore and </w:t>
      </w:r>
      <w:r w:rsidR="006446D3" w:rsidRPr="002576F1">
        <w:rPr>
          <w:rFonts w:ascii="Rupee Foradian" w:hAnsi="Rupee Foradian" w:cs="Arial"/>
          <w:b/>
          <w:szCs w:val="22"/>
        </w:rPr>
        <w:t>`</w:t>
      </w:r>
      <w:r w:rsidRPr="002576F1">
        <w:rPr>
          <w:rFonts w:ascii="Palatino Linotype" w:hAnsi="Palatino Linotype" w:cs="Arial"/>
          <w:sz w:val="22"/>
          <w:szCs w:val="22"/>
        </w:rPr>
        <w:t xml:space="preserve"> </w:t>
      </w:r>
      <w:r w:rsidR="001E51C8" w:rsidRPr="002576F1">
        <w:rPr>
          <w:rFonts w:ascii="Palatino Linotype" w:hAnsi="Palatino Linotype" w:cs="Arial"/>
          <w:sz w:val="22"/>
          <w:szCs w:val="22"/>
        </w:rPr>
        <w:t>24</w:t>
      </w:r>
      <w:r w:rsidRPr="002576F1">
        <w:rPr>
          <w:rFonts w:ascii="Palatino Linotype" w:hAnsi="Palatino Linotype" w:cs="Arial"/>
          <w:sz w:val="22"/>
          <w:szCs w:val="22"/>
        </w:rPr>
        <w:t xml:space="preserve"> crore from </w:t>
      </w:r>
      <w:r w:rsidR="005A3028" w:rsidRPr="002576F1">
        <w:rPr>
          <w:rFonts w:ascii="Palatino Linotype" w:hAnsi="Palatino Linotype" w:cs="Arial"/>
          <w:sz w:val="22"/>
          <w:szCs w:val="22"/>
        </w:rPr>
        <w:t xml:space="preserve">closed ended schemes </w:t>
      </w:r>
      <w:r w:rsidRPr="002576F1">
        <w:rPr>
          <w:rFonts w:ascii="Palatino Linotype" w:hAnsi="Palatino Linotype" w:cs="Arial"/>
          <w:sz w:val="22"/>
          <w:szCs w:val="22"/>
        </w:rPr>
        <w:t xml:space="preserve">and interval schemes during </w:t>
      </w:r>
      <w:r w:rsidR="001E51C8" w:rsidRPr="002576F1">
        <w:rPr>
          <w:rFonts w:ascii="Palatino Linotype" w:hAnsi="Palatino Linotype" w:cs="Arial"/>
          <w:sz w:val="22"/>
          <w:szCs w:val="22"/>
        </w:rPr>
        <w:t>September</w:t>
      </w:r>
      <w:r w:rsidRPr="002576F1">
        <w:rPr>
          <w:rFonts w:ascii="Palatino Linotype" w:hAnsi="Palatino Linotype" w:cs="Arial"/>
          <w:sz w:val="22"/>
          <w:szCs w:val="22"/>
        </w:rPr>
        <w:t xml:space="preserve"> 2019.</w:t>
      </w:r>
    </w:p>
    <w:p w:rsidR="0032036A" w:rsidRPr="00186E61" w:rsidRDefault="0032036A" w:rsidP="001F078D">
      <w:pPr>
        <w:pStyle w:val="ListParagraph"/>
        <w:numPr>
          <w:ilvl w:val="0"/>
          <w:numId w:val="15"/>
        </w:numPr>
        <w:ind w:left="360"/>
        <w:jc w:val="both"/>
        <w:rPr>
          <w:rFonts w:ascii="Palatino Linotype" w:eastAsia="Times New Roman" w:hAnsi="Palatino Linotype" w:cs="Arial"/>
          <w:color w:val="000000"/>
          <w:sz w:val="22"/>
          <w:szCs w:val="22"/>
        </w:rPr>
      </w:pPr>
      <w:r w:rsidRPr="00186E61">
        <w:rPr>
          <w:rFonts w:ascii="Palatino Linotype" w:hAnsi="Palatino Linotype" w:cs="Arial"/>
          <w:sz w:val="22"/>
          <w:szCs w:val="22"/>
        </w:rPr>
        <w:t xml:space="preserve">The net assets under </w:t>
      </w:r>
      <w:r w:rsidR="009A6127" w:rsidRPr="00186E61">
        <w:rPr>
          <w:rFonts w:ascii="Palatino Linotype" w:hAnsi="Palatino Linotype" w:cs="Arial"/>
          <w:sz w:val="22"/>
          <w:szCs w:val="22"/>
        </w:rPr>
        <w:t xml:space="preserve">management of all mutual funds </w:t>
      </w:r>
      <w:r w:rsidR="001E51C8">
        <w:rPr>
          <w:rFonts w:ascii="Palatino Linotype" w:hAnsi="Palatino Linotype" w:cs="Arial"/>
          <w:sz w:val="22"/>
          <w:szCs w:val="22"/>
        </w:rPr>
        <w:t xml:space="preserve">stood at </w:t>
      </w:r>
      <w:r w:rsidRPr="00186E61">
        <w:rPr>
          <w:rFonts w:ascii="Times New Roman" w:hAnsi="Times New Roman"/>
          <w:sz w:val="22"/>
          <w:szCs w:val="22"/>
        </w:rPr>
        <w:t>₹</w:t>
      </w:r>
      <w:r w:rsidRPr="00186E61">
        <w:rPr>
          <w:rFonts w:ascii="Palatino Linotype" w:hAnsi="Palatino Linotype" w:cs="Arial"/>
          <w:sz w:val="22"/>
          <w:szCs w:val="22"/>
        </w:rPr>
        <w:t xml:space="preserve"> </w:t>
      </w:r>
      <w:r w:rsidR="0093151B" w:rsidRPr="00186E61">
        <w:rPr>
          <w:rFonts w:ascii="Palatino Linotype" w:hAnsi="Palatino Linotype" w:cs="Arial"/>
          <w:sz w:val="22"/>
          <w:szCs w:val="22"/>
        </w:rPr>
        <w:t>25.5</w:t>
      </w:r>
      <w:r w:rsidRPr="00186E61">
        <w:rPr>
          <w:rFonts w:ascii="Palatino Linotype" w:hAnsi="Palatino Linotype" w:cs="Arial"/>
          <w:sz w:val="22"/>
          <w:szCs w:val="22"/>
        </w:rPr>
        <w:t xml:space="preserve"> lakh crore at the end of </w:t>
      </w:r>
      <w:r w:rsidR="001E51C8">
        <w:rPr>
          <w:rFonts w:ascii="Palatino Linotype" w:hAnsi="Palatino Linotype" w:cs="Arial"/>
          <w:sz w:val="22"/>
          <w:szCs w:val="22"/>
        </w:rPr>
        <w:t>September</w:t>
      </w:r>
      <w:r w:rsidRPr="00186E61">
        <w:rPr>
          <w:rFonts w:ascii="Palatino Linotype" w:hAnsi="Palatino Linotype" w:cs="Arial"/>
          <w:sz w:val="22"/>
          <w:szCs w:val="22"/>
        </w:rPr>
        <w:t xml:space="preserve"> 2019.</w:t>
      </w:r>
    </w:p>
    <w:p w:rsidR="005A3028" w:rsidRPr="00186E61" w:rsidRDefault="0032036A" w:rsidP="001F078D">
      <w:pPr>
        <w:pStyle w:val="ListParagraph"/>
        <w:numPr>
          <w:ilvl w:val="0"/>
          <w:numId w:val="15"/>
        </w:numPr>
        <w:ind w:left="360"/>
        <w:jc w:val="both"/>
        <w:rPr>
          <w:rFonts w:ascii="Palatino Linotype" w:eastAsia="Times New Roman" w:hAnsi="Palatino Linotype" w:cs="Arial"/>
          <w:sz w:val="22"/>
          <w:szCs w:val="22"/>
        </w:rPr>
      </w:pPr>
      <w:r w:rsidRPr="00186E61">
        <w:rPr>
          <w:rFonts w:ascii="Palatino Linotype" w:hAnsi="Palatino Linotype" w:cs="Arial"/>
          <w:sz w:val="22"/>
          <w:szCs w:val="22"/>
        </w:rPr>
        <w:t xml:space="preserve">As on </w:t>
      </w:r>
      <w:r w:rsidR="001E51C8">
        <w:rPr>
          <w:rFonts w:ascii="Palatino Linotype" w:hAnsi="Palatino Linotype" w:cs="Arial"/>
          <w:sz w:val="22"/>
          <w:szCs w:val="22"/>
        </w:rPr>
        <w:t>September</w:t>
      </w:r>
      <w:r w:rsidR="005A3028" w:rsidRPr="00186E61">
        <w:rPr>
          <w:rFonts w:ascii="Palatino Linotype" w:hAnsi="Palatino Linotype" w:cs="Arial"/>
          <w:sz w:val="22"/>
          <w:szCs w:val="22"/>
        </w:rPr>
        <w:t xml:space="preserve"> 3</w:t>
      </w:r>
      <w:r w:rsidR="0093151B" w:rsidRPr="00186E61">
        <w:rPr>
          <w:rFonts w:ascii="Palatino Linotype" w:hAnsi="Palatino Linotype" w:cs="Arial"/>
          <w:sz w:val="22"/>
          <w:szCs w:val="22"/>
        </w:rPr>
        <w:t>0</w:t>
      </w:r>
      <w:r w:rsidRPr="00186E61">
        <w:rPr>
          <w:rFonts w:ascii="Palatino Linotype" w:hAnsi="Palatino Linotype" w:cs="Arial"/>
          <w:sz w:val="22"/>
          <w:szCs w:val="22"/>
        </w:rPr>
        <w:t xml:space="preserve">, 2019, there were a total of </w:t>
      </w:r>
      <w:r w:rsidR="005B5C45">
        <w:rPr>
          <w:rFonts w:ascii="Palatino Linotype" w:hAnsi="Palatino Linotype" w:cs="Arial"/>
          <w:sz w:val="22"/>
          <w:szCs w:val="22"/>
        </w:rPr>
        <w:t>1,903</w:t>
      </w:r>
      <w:r w:rsidRPr="00186E61">
        <w:rPr>
          <w:rFonts w:ascii="Palatino Linotype" w:hAnsi="Palatino Linotype" w:cs="Arial"/>
          <w:sz w:val="22"/>
          <w:szCs w:val="22"/>
        </w:rPr>
        <w:t xml:space="preserve"> mutual fund schemes in the market, of which </w:t>
      </w:r>
      <w:r w:rsidR="005B5C45">
        <w:rPr>
          <w:rFonts w:ascii="Palatino Linotype" w:hAnsi="Palatino Linotype" w:cs="Arial"/>
          <w:sz w:val="22"/>
          <w:szCs w:val="22"/>
        </w:rPr>
        <w:t>1,13</w:t>
      </w:r>
      <w:r w:rsidR="0093151B" w:rsidRPr="00186E61">
        <w:rPr>
          <w:rFonts w:ascii="Palatino Linotype" w:hAnsi="Palatino Linotype" w:cs="Arial"/>
          <w:sz w:val="22"/>
          <w:szCs w:val="22"/>
        </w:rPr>
        <w:t>8</w:t>
      </w:r>
      <w:r w:rsidRPr="00186E61">
        <w:rPr>
          <w:rFonts w:ascii="Palatino Linotype" w:hAnsi="Palatino Linotype" w:cs="Arial"/>
          <w:sz w:val="22"/>
          <w:szCs w:val="22"/>
        </w:rPr>
        <w:t xml:space="preserve"> were income / debt oriented schemes</w:t>
      </w:r>
      <w:r w:rsidR="005A3028" w:rsidRPr="00186E61">
        <w:rPr>
          <w:rFonts w:ascii="Palatino Linotype" w:hAnsi="Palatino Linotype" w:cs="Arial"/>
          <w:sz w:val="22"/>
          <w:szCs w:val="22"/>
        </w:rPr>
        <w:t xml:space="preserve"> (31</w:t>
      </w:r>
      <w:r w:rsidR="0093151B" w:rsidRPr="00186E61">
        <w:rPr>
          <w:rFonts w:ascii="Palatino Linotype" w:hAnsi="Palatino Linotype" w:cs="Arial"/>
          <w:sz w:val="22"/>
          <w:szCs w:val="22"/>
        </w:rPr>
        <w:t>4</w:t>
      </w:r>
      <w:r w:rsidR="005A3028" w:rsidRPr="00186E61">
        <w:rPr>
          <w:rFonts w:ascii="Palatino Linotype" w:hAnsi="Palatino Linotype" w:cs="Arial"/>
          <w:sz w:val="22"/>
          <w:szCs w:val="22"/>
        </w:rPr>
        <w:t xml:space="preserve"> open ended and </w:t>
      </w:r>
      <w:r w:rsidR="0093151B" w:rsidRPr="00186E61">
        <w:rPr>
          <w:rFonts w:ascii="Palatino Linotype" w:hAnsi="Palatino Linotype" w:cs="Arial"/>
          <w:sz w:val="22"/>
          <w:szCs w:val="22"/>
        </w:rPr>
        <w:t>8</w:t>
      </w:r>
      <w:r w:rsidR="005B5C45">
        <w:rPr>
          <w:rFonts w:ascii="Palatino Linotype" w:hAnsi="Palatino Linotype" w:cs="Arial"/>
          <w:sz w:val="22"/>
          <w:szCs w:val="22"/>
        </w:rPr>
        <w:t>2</w:t>
      </w:r>
      <w:r w:rsidR="0093151B" w:rsidRPr="00186E61">
        <w:rPr>
          <w:rFonts w:ascii="Palatino Linotype" w:hAnsi="Palatino Linotype" w:cs="Arial"/>
          <w:sz w:val="22"/>
          <w:szCs w:val="22"/>
        </w:rPr>
        <w:t>4</w:t>
      </w:r>
      <w:r w:rsidR="005A3028" w:rsidRPr="00186E61">
        <w:rPr>
          <w:rFonts w:ascii="Palatino Linotype" w:hAnsi="Palatino Linotype" w:cs="Arial"/>
          <w:sz w:val="22"/>
          <w:szCs w:val="22"/>
        </w:rPr>
        <w:t xml:space="preserve"> closed ended)</w:t>
      </w:r>
      <w:r w:rsidRPr="00186E61">
        <w:rPr>
          <w:rFonts w:ascii="Palatino Linotype" w:hAnsi="Palatino Linotype" w:cs="Arial"/>
          <w:sz w:val="22"/>
          <w:szCs w:val="22"/>
        </w:rPr>
        <w:t xml:space="preserve">, </w:t>
      </w:r>
      <w:r w:rsidR="0093151B" w:rsidRPr="00186E61">
        <w:rPr>
          <w:rFonts w:ascii="Palatino Linotype" w:hAnsi="Palatino Linotype" w:cs="Arial"/>
          <w:sz w:val="22"/>
          <w:szCs w:val="22"/>
        </w:rPr>
        <w:t>439</w:t>
      </w:r>
      <w:r w:rsidRPr="00186E61">
        <w:rPr>
          <w:rFonts w:ascii="Palatino Linotype" w:hAnsi="Palatino Linotype" w:cs="Arial"/>
          <w:sz w:val="22"/>
          <w:szCs w:val="22"/>
        </w:rPr>
        <w:t xml:space="preserve"> were growth / equity oriented schemes</w:t>
      </w:r>
      <w:r w:rsidR="005A3028" w:rsidRPr="00186E61">
        <w:rPr>
          <w:rFonts w:ascii="Palatino Linotype" w:hAnsi="Palatino Linotype" w:cs="Arial"/>
          <w:sz w:val="22"/>
          <w:szCs w:val="22"/>
        </w:rPr>
        <w:t xml:space="preserve"> (31</w:t>
      </w:r>
      <w:r w:rsidR="005B5C45">
        <w:rPr>
          <w:rFonts w:ascii="Palatino Linotype" w:hAnsi="Palatino Linotype" w:cs="Arial"/>
          <w:sz w:val="22"/>
          <w:szCs w:val="22"/>
        </w:rPr>
        <w:t>8</w:t>
      </w:r>
      <w:r w:rsidR="005A3028" w:rsidRPr="00186E61">
        <w:rPr>
          <w:rFonts w:ascii="Palatino Linotype" w:hAnsi="Palatino Linotype" w:cs="Arial"/>
          <w:sz w:val="22"/>
          <w:szCs w:val="22"/>
        </w:rPr>
        <w:t xml:space="preserve"> open ended and 12</w:t>
      </w:r>
      <w:r w:rsidR="005B5C45">
        <w:rPr>
          <w:rFonts w:ascii="Palatino Linotype" w:hAnsi="Palatino Linotype" w:cs="Arial"/>
          <w:sz w:val="22"/>
          <w:szCs w:val="22"/>
        </w:rPr>
        <w:t>1</w:t>
      </w:r>
      <w:r w:rsidR="005A3028" w:rsidRPr="00186E61">
        <w:rPr>
          <w:rFonts w:ascii="Palatino Linotype" w:hAnsi="Palatino Linotype" w:cs="Arial"/>
          <w:sz w:val="22"/>
          <w:szCs w:val="22"/>
        </w:rPr>
        <w:t xml:space="preserve"> closed ended)</w:t>
      </w:r>
      <w:r w:rsidRPr="00186E61">
        <w:rPr>
          <w:rFonts w:ascii="Palatino Linotype" w:hAnsi="Palatino Linotype" w:cs="Arial"/>
          <w:sz w:val="22"/>
          <w:szCs w:val="22"/>
        </w:rPr>
        <w:t xml:space="preserve">, </w:t>
      </w:r>
      <w:r w:rsidR="005B5C45">
        <w:rPr>
          <w:rFonts w:ascii="Palatino Linotype" w:hAnsi="Palatino Linotype" w:cs="Arial"/>
          <w:sz w:val="22"/>
          <w:szCs w:val="22"/>
        </w:rPr>
        <w:t>141</w:t>
      </w:r>
      <w:r w:rsidR="005A3028" w:rsidRPr="00186E61">
        <w:rPr>
          <w:rFonts w:ascii="Palatino Linotype" w:hAnsi="Palatino Linotype" w:cs="Arial"/>
          <w:sz w:val="22"/>
          <w:szCs w:val="22"/>
        </w:rPr>
        <w:t xml:space="preserve"> were open ended other schemes</w:t>
      </w:r>
      <w:r w:rsidR="002E627C">
        <w:rPr>
          <w:rFonts w:ascii="Palatino Linotype" w:hAnsi="Palatino Linotype" w:cs="Arial"/>
          <w:sz w:val="22"/>
          <w:szCs w:val="22"/>
        </w:rPr>
        <w:t xml:space="preserve"> (ETFs)</w:t>
      </w:r>
      <w:r w:rsidR="005A3028" w:rsidRPr="00186E61">
        <w:rPr>
          <w:rFonts w:ascii="Palatino Linotype" w:hAnsi="Palatino Linotype" w:cs="Arial"/>
          <w:sz w:val="22"/>
          <w:szCs w:val="22"/>
        </w:rPr>
        <w:t>, 12</w:t>
      </w:r>
      <w:r w:rsidR="005B5C45">
        <w:rPr>
          <w:rFonts w:ascii="Palatino Linotype" w:hAnsi="Palatino Linotype" w:cs="Arial"/>
          <w:sz w:val="22"/>
          <w:szCs w:val="22"/>
        </w:rPr>
        <w:t>9</w:t>
      </w:r>
      <w:r w:rsidRPr="00186E61">
        <w:rPr>
          <w:rFonts w:ascii="Palatino Linotype" w:hAnsi="Palatino Linotype" w:cs="Arial"/>
          <w:sz w:val="22"/>
          <w:szCs w:val="22"/>
        </w:rPr>
        <w:t xml:space="preserve"> were </w:t>
      </w:r>
      <w:r w:rsidR="005A3028" w:rsidRPr="00186E61">
        <w:rPr>
          <w:rFonts w:ascii="Palatino Linotype" w:hAnsi="Palatino Linotype" w:cs="Arial"/>
          <w:sz w:val="22"/>
          <w:szCs w:val="22"/>
        </w:rPr>
        <w:t xml:space="preserve">open ended Hybrid schemes, 30 were open ended </w:t>
      </w:r>
      <w:r w:rsidR="005A3028" w:rsidRPr="00186E61">
        <w:rPr>
          <w:rFonts w:ascii="Palatino Linotype" w:eastAsia="Times New Roman" w:hAnsi="Palatino Linotype" w:cs="Arial"/>
          <w:sz w:val="22"/>
          <w:szCs w:val="22"/>
        </w:rPr>
        <w:t xml:space="preserve">Solution </w:t>
      </w:r>
      <w:r w:rsidR="004028D9" w:rsidRPr="00186E61">
        <w:rPr>
          <w:rFonts w:ascii="Palatino Linotype" w:eastAsia="Times New Roman" w:hAnsi="Palatino Linotype" w:cs="Arial"/>
          <w:sz w:val="22"/>
          <w:szCs w:val="22"/>
        </w:rPr>
        <w:t>Oriented Schemes</w:t>
      </w:r>
      <w:r w:rsidR="005A3028" w:rsidRPr="00186E61">
        <w:rPr>
          <w:rFonts w:ascii="Palatino Linotype" w:eastAsia="Times New Roman" w:hAnsi="Palatino Linotype" w:cs="Arial"/>
          <w:sz w:val="22"/>
          <w:szCs w:val="22"/>
        </w:rPr>
        <w:t xml:space="preserve"> and 26 interval schemes.</w:t>
      </w:r>
    </w:p>
    <w:p w:rsidR="004173B2" w:rsidRPr="00186E61" w:rsidRDefault="004173B2" w:rsidP="00126726">
      <w:pPr>
        <w:pStyle w:val="ListParagraph"/>
        <w:numPr>
          <w:ilvl w:val="0"/>
          <w:numId w:val="15"/>
        </w:numPr>
        <w:ind w:left="360"/>
        <w:jc w:val="both"/>
        <w:rPr>
          <w:rFonts w:ascii="Palatino Linotype" w:hAnsi="Palatino Linotype" w:cs="Arial"/>
          <w:sz w:val="22"/>
          <w:szCs w:val="22"/>
        </w:rPr>
      </w:pPr>
      <w:r w:rsidRPr="00186E61">
        <w:rPr>
          <w:rFonts w:ascii="Palatino Linotype" w:hAnsi="Palatino Linotype" w:cs="Arial"/>
          <w:sz w:val="22"/>
          <w:szCs w:val="22"/>
        </w:rPr>
        <w:t xml:space="preserve">In the secondary market transaction, during </w:t>
      </w:r>
      <w:r w:rsidR="00126726">
        <w:rPr>
          <w:rFonts w:ascii="Palatino Linotype" w:hAnsi="Palatino Linotype" w:cs="Arial"/>
          <w:sz w:val="22"/>
          <w:szCs w:val="22"/>
        </w:rPr>
        <w:t>September</w:t>
      </w:r>
      <w:r w:rsidRPr="00186E61">
        <w:rPr>
          <w:rFonts w:ascii="Palatino Linotype" w:hAnsi="Palatino Linotype" w:cs="Arial"/>
          <w:sz w:val="22"/>
          <w:szCs w:val="22"/>
        </w:rPr>
        <w:t xml:space="preserve"> 2019, mutual funds made an investment of </w:t>
      </w:r>
      <w:r w:rsidR="006446D3" w:rsidRPr="006446D3">
        <w:rPr>
          <w:rFonts w:ascii="Rupee Foradian" w:hAnsi="Rupee Foradian" w:cs="Arial"/>
          <w:b/>
          <w:szCs w:val="22"/>
        </w:rPr>
        <w:t>`</w:t>
      </w:r>
      <w:r w:rsidRPr="00186E61">
        <w:rPr>
          <w:rFonts w:ascii="Palatino Linotype" w:hAnsi="Palatino Linotype" w:cs="Arial"/>
          <w:sz w:val="22"/>
          <w:szCs w:val="22"/>
        </w:rPr>
        <w:t xml:space="preserve"> </w:t>
      </w:r>
      <w:r w:rsidR="00126726" w:rsidRPr="00126726">
        <w:rPr>
          <w:rFonts w:ascii="Palatino Linotype" w:hAnsi="Palatino Linotype" w:cs="Arial"/>
          <w:sz w:val="22"/>
          <w:szCs w:val="22"/>
        </w:rPr>
        <w:t>42,384</w:t>
      </w:r>
      <w:r w:rsidR="00126726">
        <w:rPr>
          <w:rFonts w:ascii="Palatino Linotype" w:hAnsi="Palatino Linotype" w:cs="Arial"/>
          <w:sz w:val="22"/>
          <w:szCs w:val="22"/>
        </w:rPr>
        <w:t xml:space="preserve"> </w:t>
      </w:r>
      <w:r w:rsidRPr="00186E61">
        <w:rPr>
          <w:rFonts w:ascii="Palatino Linotype" w:hAnsi="Palatino Linotype" w:cs="Arial"/>
          <w:sz w:val="22"/>
          <w:szCs w:val="22"/>
        </w:rPr>
        <w:t>crore (</w:t>
      </w:r>
      <w:r w:rsidR="006446D3" w:rsidRPr="006446D3">
        <w:rPr>
          <w:rFonts w:ascii="Rupee Foradian" w:hAnsi="Rupee Foradian" w:cs="Arial"/>
          <w:b/>
          <w:szCs w:val="22"/>
        </w:rPr>
        <w:t>`</w:t>
      </w:r>
      <w:r w:rsidR="00126726" w:rsidRPr="00126726">
        <w:rPr>
          <w:rFonts w:ascii="Palatino Linotype" w:hAnsi="Palatino Linotype" w:cs="Arial"/>
          <w:sz w:val="22"/>
          <w:szCs w:val="22"/>
        </w:rPr>
        <w:t xml:space="preserve"> 11,029</w:t>
      </w:r>
      <w:r w:rsidR="00126726">
        <w:rPr>
          <w:rFonts w:ascii="Palatino Linotype" w:hAnsi="Palatino Linotype" w:cs="Arial"/>
          <w:sz w:val="22"/>
          <w:szCs w:val="22"/>
        </w:rPr>
        <w:t xml:space="preserve"> </w:t>
      </w:r>
      <w:r w:rsidRPr="00186E61">
        <w:rPr>
          <w:rFonts w:ascii="Palatino Linotype" w:hAnsi="Palatino Linotype" w:cs="Arial"/>
          <w:sz w:val="22"/>
          <w:szCs w:val="22"/>
        </w:rPr>
        <w:t xml:space="preserve">crore in equity and </w:t>
      </w:r>
      <w:r w:rsidR="006446D3" w:rsidRPr="006446D3">
        <w:rPr>
          <w:rFonts w:ascii="Rupee Foradian" w:hAnsi="Rupee Foradian" w:cs="Arial"/>
          <w:b/>
          <w:szCs w:val="22"/>
        </w:rPr>
        <w:t>`</w:t>
      </w:r>
      <w:r w:rsidRPr="00186E61">
        <w:rPr>
          <w:rFonts w:ascii="Palatino Linotype" w:hAnsi="Palatino Linotype" w:cs="Arial"/>
          <w:sz w:val="22"/>
          <w:szCs w:val="22"/>
        </w:rPr>
        <w:t xml:space="preserve"> </w:t>
      </w:r>
      <w:r w:rsidR="00126726" w:rsidRPr="00126726">
        <w:rPr>
          <w:rFonts w:ascii="Palatino Linotype" w:hAnsi="Palatino Linotype" w:cs="Arial"/>
          <w:sz w:val="22"/>
          <w:szCs w:val="22"/>
        </w:rPr>
        <w:t>31,354</w:t>
      </w:r>
      <w:r w:rsidR="00126726">
        <w:rPr>
          <w:rFonts w:ascii="Palatino Linotype" w:hAnsi="Palatino Linotype" w:cs="Arial"/>
          <w:sz w:val="22"/>
          <w:szCs w:val="22"/>
        </w:rPr>
        <w:t xml:space="preserve"> </w:t>
      </w:r>
      <w:r w:rsidRPr="00186E61">
        <w:rPr>
          <w:rFonts w:ascii="Palatino Linotype" w:hAnsi="Palatino Linotype" w:cs="Arial"/>
          <w:sz w:val="22"/>
          <w:szCs w:val="22"/>
        </w:rPr>
        <w:t xml:space="preserve">crore in debt) compared to </w:t>
      </w:r>
      <w:r w:rsidR="0093151B" w:rsidRPr="00186E61">
        <w:rPr>
          <w:rFonts w:ascii="Palatino Linotype" w:hAnsi="Palatino Linotype" w:cs="Arial"/>
          <w:sz w:val="22"/>
          <w:szCs w:val="22"/>
        </w:rPr>
        <w:t xml:space="preserve">an investment of </w:t>
      </w:r>
      <w:r w:rsidR="006446D3" w:rsidRPr="006446D3">
        <w:rPr>
          <w:rFonts w:ascii="Rupee Foradian" w:hAnsi="Rupee Foradian" w:cs="Arial"/>
          <w:b/>
          <w:szCs w:val="22"/>
        </w:rPr>
        <w:t>`</w:t>
      </w:r>
      <w:r w:rsidR="00126726" w:rsidRPr="00126726">
        <w:rPr>
          <w:rFonts w:ascii="Palatino Linotype" w:hAnsi="Palatino Linotype" w:cs="Arial"/>
          <w:sz w:val="22"/>
          <w:szCs w:val="22"/>
        </w:rPr>
        <w:t xml:space="preserve"> 67,723 crore (</w:t>
      </w:r>
      <w:r w:rsidR="006446D3" w:rsidRPr="006446D3">
        <w:rPr>
          <w:rFonts w:ascii="Rupee Foradian" w:hAnsi="Rupee Foradian" w:cs="Arial"/>
          <w:b/>
          <w:szCs w:val="22"/>
        </w:rPr>
        <w:t>`</w:t>
      </w:r>
      <w:r w:rsidR="00126726" w:rsidRPr="00126726">
        <w:rPr>
          <w:rFonts w:ascii="Palatino Linotype" w:hAnsi="Palatino Linotype" w:cs="Arial"/>
          <w:sz w:val="22"/>
          <w:szCs w:val="22"/>
        </w:rPr>
        <w:t xml:space="preserve">17,407 crore in equity and </w:t>
      </w:r>
      <w:r w:rsidR="006446D3" w:rsidRPr="006446D3">
        <w:rPr>
          <w:rFonts w:ascii="Rupee Foradian" w:hAnsi="Rupee Foradian" w:cs="Arial"/>
          <w:b/>
          <w:szCs w:val="22"/>
        </w:rPr>
        <w:t>`</w:t>
      </w:r>
      <w:r w:rsidR="00126726" w:rsidRPr="00126726">
        <w:rPr>
          <w:rFonts w:ascii="Palatino Linotype" w:hAnsi="Palatino Linotype" w:cs="Arial"/>
          <w:sz w:val="22"/>
          <w:szCs w:val="22"/>
        </w:rPr>
        <w:t xml:space="preserve"> 50,316 crore in debt) </w:t>
      </w:r>
      <w:r w:rsidR="00126726" w:rsidRPr="00186E61">
        <w:rPr>
          <w:rFonts w:ascii="Palatino Linotype" w:hAnsi="Palatino Linotype" w:cs="Arial"/>
          <w:sz w:val="22"/>
          <w:szCs w:val="22"/>
        </w:rPr>
        <w:t>in</w:t>
      </w:r>
      <w:r w:rsidRPr="00186E61">
        <w:rPr>
          <w:rFonts w:ascii="Palatino Linotype" w:hAnsi="Palatino Linotype" w:cs="Arial"/>
          <w:sz w:val="22"/>
          <w:szCs w:val="22"/>
        </w:rPr>
        <w:t xml:space="preserve"> </w:t>
      </w:r>
      <w:r w:rsidR="00126726">
        <w:rPr>
          <w:rFonts w:ascii="Palatino Linotype" w:hAnsi="Palatino Linotype" w:cs="Arial"/>
          <w:sz w:val="22"/>
          <w:szCs w:val="22"/>
        </w:rPr>
        <w:t>August</w:t>
      </w:r>
      <w:r w:rsidRPr="00186E61">
        <w:rPr>
          <w:rFonts w:ascii="Palatino Linotype" w:hAnsi="Palatino Linotype" w:cs="Arial"/>
          <w:sz w:val="22"/>
          <w:szCs w:val="22"/>
        </w:rPr>
        <w:t xml:space="preserve"> 2019. </w:t>
      </w:r>
    </w:p>
    <w:p w:rsidR="00045B3E" w:rsidRDefault="00045B3E" w:rsidP="00045B3E">
      <w:pPr>
        <w:pStyle w:val="ListParagraph"/>
        <w:rPr>
          <w:rFonts w:ascii="Palatino Linotype" w:hAnsi="Palatino Linotype"/>
          <w:b/>
          <w:sz w:val="22"/>
          <w:szCs w:val="22"/>
        </w:rPr>
      </w:pPr>
    </w:p>
    <w:p w:rsidR="00186E61" w:rsidRDefault="00186E61" w:rsidP="00045B3E">
      <w:pPr>
        <w:pStyle w:val="ListParagraph"/>
        <w:rPr>
          <w:rFonts w:ascii="Palatino Linotype" w:hAnsi="Palatino Linotype"/>
          <w:b/>
          <w:sz w:val="22"/>
          <w:szCs w:val="22"/>
        </w:rPr>
      </w:pPr>
    </w:p>
    <w:p w:rsidR="00186E61" w:rsidRDefault="00186E61" w:rsidP="00045B3E">
      <w:pPr>
        <w:pStyle w:val="ListParagraph"/>
        <w:rPr>
          <w:rFonts w:ascii="Palatino Linotype" w:hAnsi="Palatino Linotype"/>
          <w:b/>
          <w:sz w:val="22"/>
          <w:szCs w:val="22"/>
        </w:rPr>
      </w:pPr>
    </w:p>
    <w:p w:rsidR="00186E61" w:rsidRDefault="00186E61" w:rsidP="00045B3E">
      <w:pPr>
        <w:pStyle w:val="ListParagraph"/>
        <w:rPr>
          <w:rFonts w:ascii="Palatino Linotype" w:hAnsi="Palatino Linotype"/>
          <w:b/>
          <w:sz w:val="22"/>
          <w:szCs w:val="22"/>
        </w:rPr>
      </w:pPr>
    </w:p>
    <w:p w:rsidR="00186E61" w:rsidRDefault="00186E61" w:rsidP="00045B3E">
      <w:pPr>
        <w:pStyle w:val="ListParagraph"/>
        <w:rPr>
          <w:rFonts w:ascii="Palatino Linotype" w:hAnsi="Palatino Linotype"/>
          <w:b/>
          <w:sz w:val="22"/>
          <w:szCs w:val="22"/>
        </w:rPr>
      </w:pPr>
    </w:p>
    <w:p w:rsidR="00186E61" w:rsidRDefault="00186E61" w:rsidP="00045B3E">
      <w:pPr>
        <w:pStyle w:val="ListParagraph"/>
        <w:rPr>
          <w:rFonts w:ascii="Palatino Linotype" w:hAnsi="Palatino Linotype"/>
          <w:b/>
          <w:sz w:val="22"/>
          <w:szCs w:val="22"/>
        </w:rPr>
      </w:pPr>
    </w:p>
    <w:p w:rsidR="00186E61" w:rsidRDefault="00186E61" w:rsidP="00045B3E">
      <w:pPr>
        <w:pStyle w:val="ListParagraph"/>
        <w:rPr>
          <w:rFonts w:ascii="Palatino Linotype" w:hAnsi="Palatino Linotype"/>
          <w:b/>
          <w:sz w:val="22"/>
          <w:szCs w:val="22"/>
        </w:rPr>
      </w:pPr>
    </w:p>
    <w:p w:rsidR="00E34D03" w:rsidRPr="00E34D03" w:rsidRDefault="00E34D03" w:rsidP="00045B3E">
      <w:pPr>
        <w:pStyle w:val="ListParagraph"/>
        <w:rPr>
          <w:rFonts w:ascii="Palatino Linotype" w:hAnsi="Palatino Linotype"/>
          <w:b/>
          <w:sz w:val="22"/>
          <w:szCs w:val="22"/>
        </w:rPr>
      </w:pPr>
      <w:r w:rsidRPr="00E34D03">
        <w:rPr>
          <w:rFonts w:ascii="Palatino Linotype" w:hAnsi="Palatino Linotype"/>
          <w:b/>
          <w:sz w:val="22"/>
          <w:szCs w:val="22"/>
        </w:rPr>
        <w:t xml:space="preserve">Figure 10: Trends </w:t>
      </w:r>
      <w:r w:rsidR="002E627C">
        <w:rPr>
          <w:rFonts w:ascii="Palatino Linotype" w:hAnsi="Palatino Linotype"/>
          <w:b/>
          <w:sz w:val="22"/>
          <w:szCs w:val="22"/>
        </w:rPr>
        <w:t>of</w:t>
      </w:r>
      <w:r w:rsidRPr="00E34D03">
        <w:rPr>
          <w:rFonts w:ascii="Palatino Linotype" w:hAnsi="Palatino Linotype"/>
          <w:b/>
          <w:sz w:val="22"/>
          <w:szCs w:val="22"/>
        </w:rPr>
        <w:t xml:space="preserve"> Mutual Funds Investment</w:t>
      </w:r>
      <w:r w:rsidR="002E627C">
        <w:rPr>
          <w:rFonts w:ascii="Palatino Linotype" w:hAnsi="Palatino Linotype"/>
          <w:b/>
          <w:sz w:val="22"/>
          <w:szCs w:val="22"/>
        </w:rPr>
        <w:t xml:space="preserve"> in Secondary Market</w:t>
      </w:r>
      <w:r w:rsidRPr="00E34D03">
        <w:rPr>
          <w:rFonts w:ascii="Palatino Linotype" w:hAnsi="Palatino Linotype"/>
          <w:b/>
          <w:sz w:val="22"/>
          <w:szCs w:val="22"/>
        </w:rPr>
        <w:t xml:space="preserve"> (</w:t>
      </w:r>
      <w:r w:rsidRPr="00E34D03">
        <w:rPr>
          <w:rFonts w:ascii="Tahoma" w:hAnsi="Tahoma" w:cs="Tahoma"/>
          <w:b/>
          <w:sz w:val="22"/>
          <w:szCs w:val="22"/>
        </w:rPr>
        <w:t>₹</w:t>
      </w:r>
      <w:r w:rsidRPr="00E34D03">
        <w:rPr>
          <w:rFonts w:ascii="Palatino Linotype" w:eastAsia="Times New Roman" w:hAnsi="Palatino Linotype" w:cs="Garamond"/>
          <w:b/>
          <w:sz w:val="22"/>
          <w:szCs w:val="22"/>
        </w:rPr>
        <w:t xml:space="preserve"> </w:t>
      </w:r>
      <w:r w:rsidRPr="00E34D03">
        <w:rPr>
          <w:rFonts w:ascii="Palatino Linotype" w:hAnsi="Palatino Linotype"/>
          <w:b/>
          <w:sz w:val="22"/>
          <w:szCs w:val="22"/>
        </w:rPr>
        <w:t>crore)</w:t>
      </w:r>
    </w:p>
    <w:p w:rsidR="005A15AF" w:rsidRDefault="00227721" w:rsidP="005A15AF">
      <w:pPr>
        <w:jc w:val="both"/>
        <w:rPr>
          <w:rFonts w:ascii="Palatino Linotype" w:hAnsi="Palatino Linotype" w:cs="Arial"/>
          <w:sz w:val="22"/>
          <w:szCs w:val="22"/>
        </w:rPr>
      </w:pPr>
      <w:r>
        <w:rPr>
          <w:noProof/>
          <w:lang w:val="en-US" w:bidi="hi-IN"/>
        </w:rPr>
        <w:drawing>
          <wp:inline distT="0" distB="0" distL="0" distR="0" wp14:anchorId="4CED8067" wp14:editId="563DE1C0">
            <wp:extent cx="5524502" cy="2461259"/>
            <wp:effectExtent l="0" t="0" r="0" b="1587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2036A" w:rsidRPr="009A0EB3" w:rsidRDefault="0032036A" w:rsidP="0032036A">
      <w:pPr>
        <w:jc w:val="center"/>
        <w:rPr>
          <w:rFonts w:ascii="Palatino Linotype" w:hAnsi="Palatino Linotype"/>
          <w:b/>
          <w:sz w:val="22"/>
          <w:szCs w:val="22"/>
          <w:highlight w:val="yellow"/>
        </w:rPr>
      </w:pPr>
    </w:p>
    <w:p w:rsidR="0032036A" w:rsidRPr="009A0EB3" w:rsidRDefault="0032036A" w:rsidP="0032036A">
      <w:pPr>
        <w:rPr>
          <w:rFonts w:ascii="Palatino Linotype" w:hAnsi="Palatino Linotype"/>
          <w:b/>
          <w:color w:val="000099"/>
          <w:sz w:val="22"/>
          <w:szCs w:val="22"/>
          <w:highlight w:val="yellow"/>
        </w:rPr>
      </w:pPr>
    </w:p>
    <w:p w:rsidR="0032036A" w:rsidRPr="009A0EB3" w:rsidRDefault="0032036A" w:rsidP="0032036A">
      <w:pPr>
        <w:rPr>
          <w:rFonts w:ascii="Palatino Linotype" w:hAnsi="Palatino Linotype"/>
          <w:b/>
          <w:color w:val="000099"/>
          <w:sz w:val="22"/>
          <w:szCs w:val="22"/>
          <w:highlight w:val="yellow"/>
        </w:rPr>
      </w:pPr>
    </w:p>
    <w:p w:rsidR="0032036A" w:rsidRPr="009A0EB3" w:rsidRDefault="0032036A" w:rsidP="0032036A">
      <w:pPr>
        <w:widowControl w:val="0"/>
        <w:numPr>
          <w:ilvl w:val="0"/>
          <w:numId w:val="1"/>
        </w:numPr>
        <w:tabs>
          <w:tab w:val="left" w:pos="0"/>
        </w:tabs>
        <w:spacing w:before="240"/>
        <w:contextualSpacing/>
        <w:jc w:val="both"/>
        <w:rPr>
          <w:rFonts w:ascii="Palatino Linotype" w:hAnsi="Palatino Linotype"/>
          <w:b/>
          <w:color w:val="000099"/>
          <w:sz w:val="22"/>
          <w:szCs w:val="22"/>
        </w:rPr>
      </w:pPr>
      <w:r w:rsidRPr="009A0EB3">
        <w:rPr>
          <w:rFonts w:ascii="Palatino Linotype" w:hAnsi="Palatino Linotype"/>
          <w:b/>
          <w:sz w:val="22"/>
          <w:szCs w:val="22"/>
        </w:rPr>
        <w:t>Trends in Investment by the Foreign Portfolio Investors (FPIs)</w:t>
      </w:r>
    </w:p>
    <w:p w:rsidR="0032036A" w:rsidRPr="009A0EB3" w:rsidRDefault="0032036A" w:rsidP="0032036A">
      <w:pPr>
        <w:widowControl w:val="0"/>
        <w:tabs>
          <w:tab w:val="left" w:pos="0"/>
        </w:tabs>
        <w:jc w:val="both"/>
        <w:rPr>
          <w:rFonts w:ascii="Palatino Linotype" w:hAnsi="Palatino Linotype"/>
          <w:b/>
          <w:color w:val="000099"/>
          <w:sz w:val="22"/>
          <w:szCs w:val="22"/>
        </w:rPr>
      </w:pPr>
    </w:p>
    <w:p w:rsidR="00913261" w:rsidRPr="00BD158F" w:rsidRDefault="00913261" w:rsidP="001F078D">
      <w:pPr>
        <w:pStyle w:val="ListParagraph"/>
        <w:numPr>
          <w:ilvl w:val="0"/>
          <w:numId w:val="12"/>
        </w:numPr>
        <w:jc w:val="both"/>
        <w:rPr>
          <w:rFonts w:ascii="Palatino Linotype" w:eastAsia="Times New Roman" w:hAnsi="Palatino Linotype"/>
          <w:color w:val="000000"/>
          <w:sz w:val="22"/>
          <w:szCs w:val="22"/>
        </w:rPr>
      </w:pPr>
      <w:r w:rsidRPr="00BD158F">
        <w:rPr>
          <w:rFonts w:ascii="Palatino Linotype" w:eastAsia="Times New Roman" w:hAnsi="Palatino Linotype"/>
          <w:sz w:val="22"/>
          <w:szCs w:val="22"/>
        </w:rPr>
        <w:t xml:space="preserve">During </w:t>
      </w:r>
      <w:r w:rsidR="00126726">
        <w:rPr>
          <w:rFonts w:ascii="Palatino Linotype" w:eastAsia="Times New Roman" w:hAnsi="Palatino Linotype"/>
          <w:sz w:val="22"/>
          <w:szCs w:val="22"/>
        </w:rPr>
        <w:t>September</w:t>
      </w:r>
      <w:r w:rsidRPr="00BD158F">
        <w:rPr>
          <w:rFonts w:ascii="Palatino Linotype" w:eastAsia="Times New Roman" w:hAnsi="Palatino Linotype"/>
          <w:sz w:val="22"/>
          <w:szCs w:val="22"/>
        </w:rPr>
        <w:t xml:space="preserve"> 2019, </w:t>
      </w:r>
      <w:r w:rsidR="0032036A" w:rsidRPr="00BD158F">
        <w:rPr>
          <w:rFonts w:ascii="Palatino Linotype" w:eastAsia="Times New Roman" w:hAnsi="Palatino Linotype"/>
          <w:sz w:val="22"/>
          <w:szCs w:val="22"/>
        </w:rPr>
        <w:t>FPIs</w:t>
      </w:r>
      <w:r w:rsidRPr="00BD158F">
        <w:rPr>
          <w:rFonts w:ascii="Palatino Linotype" w:eastAsia="Times New Roman" w:hAnsi="Palatino Linotype"/>
          <w:sz w:val="22"/>
          <w:szCs w:val="22"/>
        </w:rPr>
        <w:t xml:space="preserve"> </w:t>
      </w:r>
      <w:r w:rsidR="00126726">
        <w:rPr>
          <w:rFonts w:ascii="Palatino Linotype" w:eastAsia="Times New Roman" w:hAnsi="Palatino Linotype"/>
          <w:sz w:val="22"/>
          <w:szCs w:val="22"/>
        </w:rPr>
        <w:t xml:space="preserve">invested </w:t>
      </w:r>
      <w:r w:rsidR="006446D3" w:rsidRPr="006446D3">
        <w:rPr>
          <w:rFonts w:ascii="Rupee Foradian" w:eastAsia="Times New Roman" w:hAnsi="Rupee Foradian"/>
          <w:b/>
          <w:szCs w:val="22"/>
        </w:rPr>
        <w:t>`</w:t>
      </w:r>
      <w:r w:rsidR="00126726">
        <w:rPr>
          <w:rFonts w:ascii="Palatino Linotype" w:eastAsia="Times New Roman" w:hAnsi="Palatino Linotype"/>
          <w:sz w:val="22"/>
          <w:szCs w:val="22"/>
        </w:rPr>
        <w:t xml:space="preserve"> 7,548 crore in </w:t>
      </w:r>
      <w:r w:rsidRPr="00BD158F">
        <w:rPr>
          <w:rFonts w:ascii="Palatino Linotype" w:eastAsia="Times New Roman" w:hAnsi="Palatino Linotype"/>
          <w:sz w:val="22"/>
          <w:szCs w:val="22"/>
        </w:rPr>
        <w:t xml:space="preserve">equity </w:t>
      </w:r>
      <w:r w:rsidR="002C4ED2" w:rsidRPr="00BD158F">
        <w:rPr>
          <w:rFonts w:ascii="Palatino Linotype" w:eastAsia="Times New Roman" w:hAnsi="Palatino Linotype"/>
          <w:sz w:val="22"/>
          <w:szCs w:val="22"/>
        </w:rPr>
        <w:t>market</w:t>
      </w:r>
      <w:r w:rsidR="00BA7021" w:rsidRPr="00BD158F">
        <w:rPr>
          <w:rFonts w:ascii="Palatino Linotype" w:eastAsia="Times New Roman" w:hAnsi="Palatino Linotype"/>
          <w:sz w:val="22"/>
          <w:szCs w:val="22"/>
        </w:rPr>
        <w:t xml:space="preserve"> </w:t>
      </w:r>
      <w:r w:rsidRPr="00BD158F">
        <w:rPr>
          <w:rFonts w:ascii="Palatino Linotype" w:eastAsia="Times New Roman" w:hAnsi="Palatino Linotype"/>
          <w:sz w:val="22"/>
          <w:szCs w:val="22"/>
        </w:rPr>
        <w:t xml:space="preserve">as </w:t>
      </w:r>
      <w:r w:rsidR="00BA7021" w:rsidRPr="00BD158F">
        <w:rPr>
          <w:rFonts w:ascii="Palatino Linotype" w:eastAsia="Times New Roman" w:hAnsi="Palatino Linotype"/>
          <w:sz w:val="22"/>
          <w:szCs w:val="22"/>
        </w:rPr>
        <w:t>compared to</w:t>
      </w:r>
      <w:r w:rsidRPr="00BD158F">
        <w:rPr>
          <w:rFonts w:ascii="Palatino Linotype" w:eastAsia="Times New Roman" w:hAnsi="Palatino Linotype"/>
          <w:sz w:val="22"/>
          <w:szCs w:val="22"/>
        </w:rPr>
        <w:t xml:space="preserve"> </w:t>
      </w:r>
      <w:r w:rsidR="006446D3" w:rsidRPr="006446D3">
        <w:rPr>
          <w:rFonts w:ascii="Rupee Foradian" w:eastAsia="Times New Roman" w:hAnsi="Rupee Foradian"/>
          <w:b/>
          <w:szCs w:val="22"/>
        </w:rPr>
        <w:t>`</w:t>
      </w:r>
      <w:r w:rsidR="00126726" w:rsidRPr="00BD158F">
        <w:rPr>
          <w:rFonts w:ascii="Palatino Linotype" w:eastAsia="Times New Roman" w:hAnsi="Palatino Linotype"/>
          <w:sz w:val="22"/>
          <w:szCs w:val="22"/>
        </w:rPr>
        <w:t xml:space="preserve"> </w:t>
      </w:r>
      <w:r w:rsidR="00126726" w:rsidRPr="00BD158F">
        <w:rPr>
          <w:rFonts w:ascii="Palatino Linotype" w:eastAsia="Times New Roman" w:hAnsi="Palatino Linotype"/>
          <w:color w:val="000000"/>
          <w:sz w:val="22"/>
          <w:szCs w:val="22"/>
        </w:rPr>
        <w:t>17,592 crore</w:t>
      </w:r>
      <w:r w:rsidR="00126726" w:rsidRPr="00BD158F">
        <w:rPr>
          <w:rFonts w:ascii="Palatino Linotype" w:eastAsia="Times New Roman" w:hAnsi="Palatino Linotype"/>
          <w:sz w:val="22"/>
          <w:szCs w:val="22"/>
        </w:rPr>
        <w:t xml:space="preserve"> </w:t>
      </w:r>
      <w:r w:rsidR="00BA7021" w:rsidRPr="00BD158F">
        <w:rPr>
          <w:rFonts w:ascii="Palatino Linotype" w:eastAsia="Times New Roman" w:hAnsi="Palatino Linotype"/>
          <w:color w:val="000000"/>
          <w:sz w:val="22"/>
          <w:szCs w:val="22"/>
        </w:rPr>
        <w:t xml:space="preserve">liquidation in </w:t>
      </w:r>
      <w:r w:rsidR="00126726">
        <w:rPr>
          <w:rFonts w:ascii="Palatino Linotype" w:eastAsia="Times New Roman" w:hAnsi="Palatino Linotype"/>
          <w:color w:val="000000"/>
          <w:sz w:val="22"/>
          <w:szCs w:val="22"/>
        </w:rPr>
        <w:t>August</w:t>
      </w:r>
      <w:r w:rsidRPr="00BD158F">
        <w:rPr>
          <w:rFonts w:ascii="Palatino Linotype" w:eastAsia="Times New Roman" w:hAnsi="Palatino Linotype"/>
          <w:color w:val="000000"/>
          <w:sz w:val="22"/>
          <w:szCs w:val="22"/>
        </w:rPr>
        <w:t xml:space="preserve"> 2019.</w:t>
      </w:r>
    </w:p>
    <w:p w:rsidR="00913261" w:rsidRPr="00BD158F" w:rsidRDefault="001D7AA4" w:rsidP="001F078D">
      <w:pPr>
        <w:pStyle w:val="ListParagraph"/>
        <w:numPr>
          <w:ilvl w:val="0"/>
          <w:numId w:val="12"/>
        </w:numPr>
        <w:jc w:val="both"/>
        <w:rPr>
          <w:rFonts w:ascii="Palatino Linotype" w:eastAsia="Times New Roman" w:hAnsi="Palatino Linotype"/>
          <w:color w:val="000000"/>
          <w:sz w:val="22"/>
          <w:szCs w:val="22"/>
        </w:rPr>
      </w:pPr>
      <w:r w:rsidRPr="00BD158F">
        <w:rPr>
          <w:rFonts w:ascii="Palatino Linotype" w:eastAsia="Times New Roman" w:hAnsi="Palatino Linotype"/>
          <w:sz w:val="22"/>
          <w:szCs w:val="22"/>
        </w:rPr>
        <w:t xml:space="preserve">FPIs </w:t>
      </w:r>
      <w:r w:rsidR="00126726">
        <w:rPr>
          <w:rFonts w:ascii="Palatino Linotype" w:eastAsia="Times New Roman" w:hAnsi="Palatino Linotype"/>
          <w:sz w:val="22"/>
          <w:szCs w:val="22"/>
        </w:rPr>
        <w:t xml:space="preserve">withdrawn </w:t>
      </w:r>
      <w:r w:rsidR="006446D3" w:rsidRPr="006446D3">
        <w:rPr>
          <w:rFonts w:ascii="Rupee Foradian" w:eastAsia="Times New Roman" w:hAnsi="Rupee Foradian"/>
          <w:b/>
          <w:szCs w:val="22"/>
        </w:rPr>
        <w:t>`</w:t>
      </w:r>
      <w:r w:rsidR="00126726">
        <w:rPr>
          <w:rFonts w:ascii="Palatino Linotype" w:eastAsia="Times New Roman" w:hAnsi="Palatino Linotype"/>
          <w:sz w:val="22"/>
          <w:szCs w:val="22"/>
        </w:rPr>
        <w:t xml:space="preserve"> 990 crore during September 2019 from </w:t>
      </w:r>
      <w:r w:rsidR="00126726" w:rsidRPr="00BD158F">
        <w:rPr>
          <w:rFonts w:ascii="Palatino Linotype" w:eastAsia="Times New Roman" w:hAnsi="Palatino Linotype"/>
          <w:sz w:val="22"/>
          <w:szCs w:val="22"/>
        </w:rPr>
        <w:t xml:space="preserve">debt securities </w:t>
      </w:r>
      <w:r w:rsidR="00126726">
        <w:rPr>
          <w:rFonts w:ascii="Palatino Linotype" w:eastAsia="Times New Roman" w:hAnsi="Palatino Linotype"/>
          <w:sz w:val="22"/>
          <w:szCs w:val="22"/>
        </w:rPr>
        <w:t xml:space="preserve">as against an </w:t>
      </w:r>
      <w:r w:rsidRPr="00BD158F">
        <w:rPr>
          <w:rFonts w:ascii="Palatino Linotype" w:eastAsia="Times New Roman" w:hAnsi="Palatino Linotype"/>
          <w:sz w:val="22"/>
          <w:szCs w:val="22"/>
        </w:rPr>
        <w:t>invest</w:t>
      </w:r>
      <w:r w:rsidR="00126726">
        <w:rPr>
          <w:rFonts w:ascii="Palatino Linotype" w:eastAsia="Times New Roman" w:hAnsi="Palatino Linotype"/>
          <w:sz w:val="22"/>
          <w:szCs w:val="22"/>
        </w:rPr>
        <w:t>ment of</w:t>
      </w:r>
      <w:r w:rsidRPr="00BD158F">
        <w:rPr>
          <w:rFonts w:ascii="Palatino Linotype" w:eastAsia="Times New Roman" w:hAnsi="Palatino Linotype"/>
          <w:sz w:val="22"/>
          <w:szCs w:val="22"/>
        </w:rPr>
        <w:t xml:space="preserve"> </w:t>
      </w:r>
      <w:r w:rsidR="006446D3" w:rsidRPr="006446D3">
        <w:rPr>
          <w:rFonts w:ascii="Rupee Foradian" w:eastAsia="Times New Roman" w:hAnsi="Rupee Foradian"/>
          <w:b/>
          <w:szCs w:val="22"/>
        </w:rPr>
        <w:t>`</w:t>
      </w:r>
      <w:r w:rsidRPr="00BD158F">
        <w:rPr>
          <w:rFonts w:ascii="Palatino Linotype" w:eastAsia="Times New Roman" w:hAnsi="Palatino Linotype"/>
          <w:sz w:val="22"/>
          <w:szCs w:val="22"/>
        </w:rPr>
        <w:t xml:space="preserve"> </w:t>
      </w:r>
      <w:r w:rsidR="00BA7021" w:rsidRPr="00BD158F">
        <w:rPr>
          <w:rFonts w:ascii="Palatino Linotype" w:eastAsia="Times New Roman" w:hAnsi="Palatino Linotype"/>
          <w:color w:val="000000"/>
          <w:sz w:val="22"/>
          <w:szCs w:val="22"/>
        </w:rPr>
        <w:t>11,672</w:t>
      </w:r>
      <w:r w:rsidRPr="00BD158F">
        <w:rPr>
          <w:rFonts w:ascii="Palatino Linotype" w:eastAsia="Times New Roman" w:hAnsi="Palatino Linotype"/>
          <w:color w:val="000000"/>
          <w:sz w:val="22"/>
          <w:szCs w:val="22"/>
        </w:rPr>
        <w:t xml:space="preserve"> </w:t>
      </w:r>
      <w:r w:rsidR="00126726" w:rsidRPr="00BD158F">
        <w:rPr>
          <w:rFonts w:ascii="Palatino Linotype" w:eastAsia="Times New Roman" w:hAnsi="Palatino Linotype"/>
          <w:color w:val="000000"/>
          <w:sz w:val="22"/>
          <w:szCs w:val="22"/>
        </w:rPr>
        <w:t xml:space="preserve">crore </w:t>
      </w:r>
      <w:r w:rsidR="00126726" w:rsidRPr="00BD158F">
        <w:rPr>
          <w:rFonts w:ascii="Palatino Linotype" w:eastAsia="Times New Roman" w:hAnsi="Palatino Linotype"/>
          <w:sz w:val="22"/>
          <w:szCs w:val="22"/>
        </w:rPr>
        <w:t>in</w:t>
      </w:r>
      <w:r w:rsidRPr="00BD158F">
        <w:rPr>
          <w:rFonts w:ascii="Palatino Linotype" w:eastAsia="Times New Roman" w:hAnsi="Palatino Linotype"/>
          <w:sz w:val="22"/>
          <w:szCs w:val="22"/>
        </w:rPr>
        <w:t xml:space="preserve"> debt securities </w:t>
      </w:r>
      <w:r w:rsidR="00126726">
        <w:rPr>
          <w:rFonts w:ascii="Palatino Linotype" w:eastAsia="Times New Roman" w:hAnsi="Palatino Linotype"/>
          <w:sz w:val="22"/>
          <w:szCs w:val="22"/>
        </w:rPr>
        <w:t>in August 2019</w:t>
      </w:r>
      <w:r w:rsidRPr="00BD158F">
        <w:rPr>
          <w:rFonts w:ascii="Palatino Linotype" w:eastAsia="Times New Roman" w:hAnsi="Palatino Linotype"/>
          <w:sz w:val="22"/>
          <w:szCs w:val="22"/>
        </w:rPr>
        <w:t>.</w:t>
      </w:r>
    </w:p>
    <w:p w:rsidR="001D7AA4" w:rsidRPr="00BD158F" w:rsidRDefault="001D7AA4" w:rsidP="001F078D">
      <w:pPr>
        <w:pStyle w:val="ListParagraph"/>
        <w:numPr>
          <w:ilvl w:val="0"/>
          <w:numId w:val="12"/>
        </w:numPr>
        <w:jc w:val="both"/>
        <w:rPr>
          <w:rFonts w:ascii="Palatino Linotype" w:eastAsia="Times New Roman" w:hAnsi="Palatino Linotype"/>
          <w:color w:val="000000"/>
          <w:sz w:val="22"/>
          <w:szCs w:val="22"/>
        </w:rPr>
      </w:pPr>
      <w:r w:rsidRPr="00BD158F">
        <w:rPr>
          <w:rFonts w:ascii="Palatino Linotype" w:eastAsia="Times New Roman" w:hAnsi="Palatino Linotype"/>
          <w:sz w:val="22"/>
          <w:szCs w:val="22"/>
        </w:rPr>
        <w:t xml:space="preserve">FPIs </w:t>
      </w:r>
      <w:r w:rsidR="00BA7021" w:rsidRPr="00BD158F">
        <w:rPr>
          <w:rFonts w:ascii="Palatino Linotype" w:eastAsia="Times New Roman" w:hAnsi="Palatino Linotype"/>
          <w:sz w:val="22"/>
          <w:szCs w:val="22"/>
        </w:rPr>
        <w:t>invested</w:t>
      </w:r>
      <w:r w:rsidRPr="00BD158F">
        <w:rPr>
          <w:rFonts w:ascii="Palatino Linotype" w:eastAsia="Times New Roman" w:hAnsi="Palatino Linotype"/>
          <w:sz w:val="22"/>
          <w:szCs w:val="22"/>
        </w:rPr>
        <w:t xml:space="preserve"> </w:t>
      </w:r>
      <w:r w:rsidR="006446D3" w:rsidRPr="006446D3">
        <w:rPr>
          <w:rFonts w:ascii="Rupee Foradian" w:eastAsia="Times New Roman" w:hAnsi="Rupee Foradian"/>
          <w:b/>
          <w:szCs w:val="22"/>
        </w:rPr>
        <w:t>`</w:t>
      </w:r>
      <w:r w:rsidRPr="00BD158F">
        <w:rPr>
          <w:rFonts w:ascii="Palatino Linotype" w:eastAsia="Times New Roman" w:hAnsi="Palatino Linotype"/>
          <w:sz w:val="22"/>
          <w:szCs w:val="22"/>
        </w:rPr>
        <w:t xml:space="preserve"> </w:t>
      </w:r>
      <w:r w:rsidR="00126726">
        <w:rPr>
          <w:rFonts w:ascii="Palatino Linotype" w:eastAsia="Times New Roman" w:hAnsi="Palatino Linotype"/>
          <w:sz w:val="22"/>
          <w:szCs w:val="22"/>
        </w:rPr>
        <w:t>25</w:t>
      </w:r>
      <w:r w:rsidRPr="00BD158F">
        <w:rPr>
          <w:rFonts w:ascii="Palatino Linotype" w:eastAsia="Times New Roman" w:hAnsi="Palatino Linotype"/>
          <w:sz w:val="22"/>
          <w:szCs w:val="22"/>
        </w:rPr>
        <w:t xml:space="preserve"> crore </w:t>
      </w:r>
      <w:r w:rsidR="00126726">
        <w:rPr>
          <w:rFonts w:ascii="Palatino Linotype" w:eastAsia="Times New Roman" w:hAnsi="Palatino Linotype"/>
          <w:sz w:val="22"/>
          <w:szCs w:val="22"/>
        </w:rPr>
        <w:t>in</w:t>
      </w:r>
      <w:r w:rsidRPr="00BD158F">
        <w:rPr>
          <w:rFonts w:ascii="Palatino Linotype" w:eastAsia="Times New Roman" w:hAnsi="Palatino Linotype"/>
          <w:sz w:val="22"/>
          <w:szCs w:val="22"/>
        </w:rPr>
        <w:t xml:space="preserve"> hybrid securities </w:t>
      </w:r>
      <w:r w:rsidR="00126726">
        <w:rPr>
          <w:rFonts w:ascii="Palatino Linotype" w:eastAsia="Times New Roman" w:hAnsi="Palatino Linotype"/>
          <w:sz w:val="22"/>
          <w:szCs w:val="22"/>
        </w:rPr>
        <w:t xml:space="preserve">compared to an investment of </w:t>
      </w:r>
      <w:r w:rsidRPr="00BD158F">
        <w:rPr>
          <w:rFonts w:ascii="Times New Roman" w:eastAsia="Times New Roman" w:hAnsi="Times New Roman"/>
          <w:b/>
          <w:sz w:val="22"/>
          <w:szCs w:val="22"/>
        </w:rPr>
        <w:t>₹</w:t>
      </w:r>
      <w:r w:rsidRPr="00BD158F">
        <w:rPr>
          <w:rFonts w:ascii="Palatino Linotype" w:eastAsia="Times New Roman" w:hAnsi="Palatino Linotype"/>
          <w:b/>
          <w:sz w:val="22"/>
          <w:szCs w:val="22"/>
        </w:rPr>
        <w:t xml:space="preserve"> </w:t>
      </w:r>
      <w:r w:rsidR="00126726">
        <w:rPr>
          <w:rFonts w:ascii="Palatino Linotype" w:eastAsia="Times New Roman" w:hAnsi="Palatino Linotype"/>
          <w:sz w:val="22"/>
          <w:szCs w:val="22"/>
        </w:rPr>
        <w:t>49</w:t>
      </w:r>
      <w:r w:rsidRPr="00BD158F">
        <w:rPr>
          <w:rFonts w:ascii="Palatino Linotype" w:eastAsia="Times New Roman" w:hAnsi="Palatino Linotype"/>
          <w:sz w:val="22"/>
          <w:szCs w:val="22"/>
        </w:rPr>
        <w:t xml:space="preserve"> crore </w:t>
      </w:r>
      <w:r w:rsidR="00126726">
        <w:rPr>
          <w:rFonts w:ascii="Palatino Linotype" w:eastAsia="Times New Roman" w:hAnsi="Palatino Linotype"/>
          <w:sz w:val="22"/>
          <w:szCs w:val="22"/>
        </w:rPr>
        <w:t>during the period</w:t>
      </w:r>
      <w:r w:rsidRPr="00BD158F">
        <w:rPr>
          <w:rFonts w:ascii="Palatino Linotype" w:eastAsia="Times New Roman" w:hAnsi="Palatino Linotype"/>
          <w:sz w:val="22"/>
          <w:szCs w:val="22"/>
        </w:rPr>
        <w:t>.</w:t>
      </w:r>
    </w:p>
    <w:p w:rsidR="0032036A" w:rsidRPr="00126726" w:rsidRDefault="001D7AA4" w:rsidP="00126726">
      <w:pPr>
        <w:pStyle w:val="ListParagraph"/>
        <w:numPr>
          <w:ilvl w:val="0"/>
          <w:numId w:val="12"/>
        </w:numPr>
        <w:jc w:val="both"/>
        <w:rPr>
          <w:rFonts w:ascii="Palatino Linotype" w:eastAsia="Times New Roman" w:hAnsi="Palatino Linotype"/>
          <w:sz w:val="22"/>
          <w:szCs w:val="22"/>
        </w:rPr>
      </w:pPr>
      <w:r w:rsidRPr="00BD158F">
        <w:rPr>
          <w:rFonts w:ascii="Palatino Linotype" w:eastAsia="Times New Roman" w:hAnsi="Palatino Linotype"/>
          <w:sz w:val="22"/>
          <w:szCs w:val="22"/>
        </w:rPr>
        <w:t>FPIs</w:t>
      </w:r>
      <w:r w:rsidR="00913261" w:rsidRPr="00BD158F">
        <w:rPr>
          <w:rFonts w:ascii="Palatino Linotype" w:eastAsia="Times New Roman" w:hAnsi="Palatino Linotype"/>
          <w:sz w:val="22"/>
          <w:szCs w:val="22"/>
        </w:rPr>
        <w:t xml:space="preserve"> </w:t>
      </w:r>
      <w:r w:rsidR="0032036A" w:rsidRPr="00BD158F">
        <w:rPr>
          <w:rFonts w:ascii="Palatino Linotype" w:eastAsia="Times New Roman" w:hAnsi="Palatino Linotype"/>
          <w:sz w:val="22"/>
          <w:szCs w:val="22"/>
        </w:rPr>
        <w:t xml:space="preserve">were a net </w:t>
      </w:r>
      <w:r w:rsidR="00126726">
        <w:rPr>
          <w:rFonts w:ascii="Palatino Linotype" w:eastAsia="Times New Roman" w:hAnsi="Palatino Linotype"/>
          <w:sz w:val="22"/>
          <w:szCs w:val="22"/>
        </w:rPr>
        <w:t>buyer</w:t>
      </w:r>
      <w:r w:rsidRPr="00BD158F">
        <w:rPr>
          <w:rFonts w:ascii="Palatino Linotype" w:eastAsia="Times New Roman" w:hAnsi="Palatino Linotype"/>
          <w:sz w:val="22"/>
          <w:szCs w:val="22"/>
        </w:rPr>
        <w:t xml:space="preserve"> of </w:t>
      </w:r>
      <w:r w:rsidR="006446D3" w:rsidRPr="006446D3">
        <w:rPr>
          <w:rFonts w:ascii="Rupee Foradian" w:eastAsia="Times New Roman" w:hAnsi="Rupee Foradian"/>
          <w:b/>
          <w:szCs w:val="22"/>
        </w:rPr>
        <w:t>`</w:t>
      </w:r>
      <w:r w:rsidRPr="00BD158F">
        <w:rPr>
          <w:rFonts w:ascii="Palatino Linotype" w:eastAsia="Times New Roman" w:hAnsi="Palatino Linotype"/>
          <w:sz w:val="22"/>
          <w:szCs w:val="22"/>
        </w:rPr>
        <w:t xml:space="preserve"> </w:t>
      </w:r>
      <w:r w:rsidR="00126726" w:rsidRPr="00126726">
        <w:rPr>
          <w:rFonts w:ascii="Palatino Linotype" w:eastAsia="Times New Roman" w:hAnsi="Palatino Linotype"/>
          <w:sz w:val="22"/>
          <w:szCs w:val="22"/>
        </w:rPr>
        <w:t>6,582</w:t>
      </w:r>
      <w:r w:rsidRPr="00126726">
        <w:rPr>
          <w:rFonts w:ascii="Palatino Linotype" w:eastAsia="Times New Roman" w:hAnsi="Palatino Linotype"/>
          <w:sz w:val="22"/>
          <w:szCs w:val="22"/>
        </w:rPr>
        <w:t xml:space="preserve"> crore </w:t>
      </w:r>
      <w:r w:rsidR="00325395" w:rsidRPr="00126726">
        <w:rPr>
          <w:rFonts w:ascii="Palatino Linotype" w:eastAsia="Times New Roman" w:hAnsi="Palatino Linotype"/>
          <w:sz w:val="22"/>
          <w:szCs w:val="22"/>
        </w:rPr>
        <w:t xml:space="preserve">in </w:t>
      </w:r>
      <w:r w:rsidR="00126726">
        <w:rPr>
          <w:rFonts w:ascii="Palatino Linotype" w:eastAsia="Times New Roman" w:hAnsi="Palatino Linotype"/>
          <w:sz w:val="22"/>
          <w:szCs w:val="22"/>
        </w:rPr>
        <w:t>September</w:t>
      </w:r>
      <w:r w:rsidRPr="00126726">
        <w:rPr>
          <w:rFonts w:ascii="Palatino Linotype" w:eastAsia="Times New Roman" w:hAnsi="Palatino Linotype"/>
          <w:sz w:val="22"/>
          <w:szCs w:val="22"/>
        </w:rPr>
        <w:t xml:space="preserve"> 2019 compared to </w:t>
      </w:r>
      <w:r w:rsidR="00126726">
        <w:rPr>
          <w:rFonts w:ascii="Palatino Linotype" w:eastAsia="Times New Roman" w:hAnsi="Palatino Linotype"/>
          <w:sz w:val="22"/>
          <w:szCs w:val="22"/>
        </w:rPr>
        <w:t xml:space="preserve">a net seller of </w:t>
      </w:r>
      <w:r w:rsidR="006446D3" w:rsidRPr="006446D3">
        <w:rPr>
          <w:rFonts w:ascii="Rupee Foradian" w:eastAsia="Times New Roman" w:hAnsi="Rupee Foradian"/>
          <w:b/>
          <w:szCs w:val="22"/>
        </w:rPr>
        <w:t>`</w:t>
      </w:r>
      <w:r w:rsidRPr="00126726">
        <w:rPr>
          <w:rFonts w:ascii="Palatino Linotype" w:eastAsia="Times New Roman" w:hAnsi="Palatino Linotype"/>
          <w:sz w:val="22"/>
          <w:szCs w:val="22"/>
        </w:rPr>
        <w:t xml:space="preserve"> </w:t>
      </w:r>
      <w:r w:rsidR="00126726">
        <w:rPr>
          <w:rFonts w:ascii="Palatino Linotype" w:eastAsia="Times New Roman" w:hAnsi="Palatino Linotype"/>
          <w:sz w:val="22"/>
          <w:szCs w:val="22"/>
        </w:rPr>
        <w:t>5,871</w:t>
      </w:r>
      <w:r w:rsidRPr="00126726">
        <w:rPr>
          <w:rFonts w:ascii="Palatino Linotype" w:eastAsia="Times New Roman" w:hAnsi="Palatino Linotype"/>
          <w:sz w:val="22"/>
          <w:szCs w:val="22"/>
        </w:rPr>
        <w:t xml:space="preserve"> crore in</w:t>
      </w:r>
      <w:r w:rsidR="00BD158F" w:rsidRPr="00126726">
        <w:rPr>
          <w:rFonts w:ascii="Palatino Linotype" w:eastAsia="Times New Roman" w:hAnsi="Palatino Linotype"/>
          <w:sz w:val="22"/>
          <w:szCs w:val="22"/>
        </w:rPr>
        <w:t xml:space="preserve"> </w:t>
      </w:r>
      <w:r w:rsidR="00126726" w:rsidRPr="00126726">
        <w:rPr>
          <w:rFonts w:ascii="Palatino Linotype" w:eastAsia="Times New Roman" w:hAnsi="Palatino Linotype"/>
          <w:sz w:val="22"/>
          <w:szCs w:val="22"/>
        </w:rPr>
        <w:t>August</w:t>
      </w:r>
      <w:r w:rsidR="0032036A" w:rsidRPr="00126726">
        <w:rPr>
          <w:rFonts w:ascii="Palatino Linotype" w:eastAsia="Times New Roman" w:hAnsi="Palatino Linotype"/>
          <w:sz w:val="22"/>
          <w:szCs w:val="22"/>
        </w:rPr>
        <w:t xml:space="preserve"> 2019. </w:t>
      </w:r>
    </w:p>
    <w:p w:rsidR="0032036A" w:rsidRPr="00A03A7D" w:rsidRDefault="0032036A" w:rsidP="00A03A7D">
      <w:pPr>
        <w:pStyle w:val="ListParagraph"/>
        <w:numPr>
          <w:ilvl w:val="0"/>
          <w:numId w:val="12"/>
        </w:numPr>
        <w:jc w:val="both"/>
        <w:rPr>
          <w:rFonts w:ascii="Palatino Linotype" w:eastAsia="Times New Roman" w:hAnsi="Palatino Linotype" w:cs="Calibri"/>
          <w:sz w:val="22"/>
          <w:szCs w:val="22"/>
        </w:rPr>
      </w:pPr>
      <w:r w:rsidRPr="00A03A7D">
        <w:rPr>
          <w:rFonts w:ascii="Palatino Linotype" w:eastAsia="Times New Roman" w:hAnsi="Palatino Linotype"/>
          <w:sz w:val="22"/>
          <w:szCs w:val="22"/>
        </w:rPr>
        <w:t xml:space="preserve">The assets of the FPIs in India, as reported by the custodians, at the end of </w:t>
      </w:r>
      <w:r w:rsidR="00A03A7D" w:rsidRPr="00A03A7D">
        <w:rPr>
          <w:rFonts w:ascii="Palatino Linotype" w:eastAsia="Times New Roman" w:hAnsi="Palatino Linotype"/>
          <w:sz w:val="22"/>
          <w:szCs w:val="22"/>
        </w:rPr>
        <w:t>September</w:t>
      </w:r>
      <w:r w:rsidRPr="00A03A7D">
        <w:rPr>
          <w:rFonts w:ascii="Palatino Linotype" w:eastAsia="Times New Roman" w:hAnsi="Palatino Linotype"/>
          <w:sz w:val="22"/>
          <w:szCs w:val="22"/>
        </w:rPr>
        <w:t xml:space="preserve"> 2019 was</w:t>
      </w:r>
      <w:r w:rsidRPr="00A03A7D">
        <w:rPr>
          <w:rFonts w:ascii="Palatino Linotype" w:hAnsi="Palatino Linotype"/>
          <w:sz w:val="22"/>
          <w:szCs w:val="22"/>
        </w:rPr>
        <w:t xml:space="preserve"> </w:t>
      </w:r>
      <w:r w:rsidRPr="00A03A7D">
        <w:rPr>
          <w:rFonts w:ascii="Times New Roman" w:hAnsi="Times New Roman"/>
          <w:sz w:val="22"/>
          <w:szCs w:val="22"/>
        </w:rPr>
        <w:t>₹</w:t>
      </w:r>
      <w:r w:rsidRPr="00A03A7D">
        <w:rPr>
          <w:rFonts w:ascii="Palatino Linotype" w:hAnsi="Palatino Linotype"/>
          <w:sz w:val="22"/>
          <w:szCs w:val="22"/>
        </w:rPr>
        <w:t xml:space="preserve"> </w:t>
      </w:r>
      <w:r w:rsidR="00A03A7D" w:rsidRPr="00A03A7D">
        <w:rPr>
          <w:rFonts w:ascii="Palatino Linotype" w:eastAsia="Times New Roman" w:hAnsi="Palatino Linotype"/>
          <w:sz w:val="22"/>
          <w:szCs w:val="22"/>
        </w:rPr>
        <w:t xml:space="preserve">32,91,703 </w:t>
      </w:r>
      <w:r w:rsidRPr="00A03A7D">
        <w:rPr>
          <w:rFonts w:ascii="Palatino Linotype" w:eastAsia="Times New Roman" w:hAnsi="Palatino Linotype"/>
          <w:sz w:val="22"/>
          <w:szCs w:val="22"/>
        </w:rPr>
        <w:t>crore, out</w:t>
      </w:r>
      <w:r w:rsidRPr="00A03A7D">
        <w:rPr>
          <w:rFonts w:ascii="Palatino Linotype" w:eastAsia="Times New Roman" w:hAnsi="Palatino Linotype" w:cs="Calibri"/>
          <w:sz w:val="22"/>
          <w:szCs w:val="22"/>
        </w:rPr>
        <w:t xml:space="preserve"> of which the notional value of offshore derivative instruments (including ODIs on derivatives) was </w:t>
      </w:r>
      <w:r w:rsidRPr="00A03A7D">
        <w:rPr>
          <w:rFonts w:ascii="Times New Roman" w:eastAsia="Times New Roman" w:hAnsi="Times New Roman"/>
          <w:sz w:val="22"/>
          <w:szCs w:val="22"/>
        </w:rPr>
        <w:t>₹</w:t>
      </w:r>
      <w:r w:rsidRPr="00A03A7D">
        <w:rPr>
          <w:rFonts w:ascii="Palatino Linotype" w:hAnsi="Palatino Linotype"/>
          <w:sz w:val="22"/>
          <w:szCs w:val="22"/>
        </w:rPr>
        <w:t xml:space="preserve"> </w:t>
      </w:r>
      <w:r w:rsidR="00A03A7D" w:rsidRPr="00A03A7D">
        <w:rPr>
          <w:rFonts w:ascii="Palatino Linotype" w:eastAsia="Times New Roman" w:hAnsi="Palatino Linotype" w:cs="Arial"/>
          <w:sz w:val="22"/>
          <w:szCs w:val="22"/>
        </w:rPr>
        <w:t xml:space="preserve">75,916 </w:t>
      </w:r>
      <w:r w:rsidR="00401C57" w:rsidRPr="00A03A7D">
        <w:rPr>
          <w:rFonts w:ascii="Palatino Linotype" w:eastAsia="Times New Roman" w:hAnsi="Palatino Linotype" w:cs="Calibri"/>
          <w:sz w:val="22"/>
          <w:szCs w:val="22"/>
        </w:rPr>
        <w:t>crore (or 2.</w:t>
      </w:r>
      <w:r w:rsidR="00A03A7D" w:rsidRPr="00A03A7D">
        <w:rPr>
          <w:rFonts w:ascii="Palatino Linotype" w:eastAsia="Times New Roman" w:hAnsi="Palatino Linotype" w:cs="Calibri"/>
          <w:sz w:val="22"/>
          <w:szCs w:val="22"/>
        </w:rPr>
        <w:t>3</w:t>
      </w:r>
      <w:r w:rsidRPr="00A03A7D">
        <w:rPr>
          <w:rFonts w:ascii="Palatino Linotype" w:eastAsia="Times New Roman" w:hAnsi="Palatino Linotype" w:cs="Calibri"/>
          <w:sz w:val="22"/>
          <w:szCs w:val="22"/>
        </w:rPr>
        <w:t xml:space="preserve"> per cent of total assets of FPIs). </w:t>
      </w:r>
    </w:p>
    <w:p w:rsidR="00045B3E" w:rsidRDefault="00045B3E" w:rsidP="00045B3E">
      <w:pPr>
        <w:pStyle w:val="ListParagraph"/>
        <w:rPr>
          <w:rFonts w:ascii="Palatino Linotype" w:hAnsi="Palatino Linotype"/>
          <w:b/>
          <w:sz w:val="22"/>
          <w:szCs w:val="22"/>
        </w:rPr>
      </w:pPr>
    </w:p>
    <w:p w:rsidR="0098446E" w:rsidRDefault="0098446E" w:rsidP="00045B3E">
      <w:pPr>
        <w:pStyle w:val="ListParagraph"/>
        <w:rPr>
          <w:rFonts w:ascii="Palatino Linotype" w:hAnsi="Palatino Linotype"/>
          <w:b/>
          <w:sz w:val="22"/>
          <w:szCs w:val="22"/>
        </w:rPr>
      </w:pPr>
    </w:p>
    <w:p w:rsidR="0098446E" w:rsidRDefault="0098446E" w:rsidP="00045B3E">
      <w:pPr>
        <w:pStyle w:val="ListParagraph"/>
        <w:rPr>
          <w:rFonts w:ascii="Palatino Linotype" w:hAnsi="Palatino Linotype"/>
          <w:b/>
          <w:sz w:val="22"/>
          <w:szCs w:val="22"/>
        </w:rPr>
      </w:pPr>
    </w:p>
    <w:p w:rsidR="0098446E" w:rsidRDefault="0098446E" w:rsidP="00045B3E">
      <w:pPr>
        <w:pStyle w:val="ListParagraph"/>
        <w:rPr>
          <w:rFonts w:ascii="Palatino Linotype" w:hAnsi="Palatino Linotype"/>
          <w:b/>
          <w:sz w:val="22"/>
          <w:szCs w:val="22"/>
        </w:rPr>
      </w:pPr>
    </w:p>
    <w:p w:rsidR="0098446E" w:rsidRDefault="0098446E" w:rsidP="00045B3E">
      <w:pPr>
        <w:pStyle w:val="ListParagraph"/>
        <w:rPr>
          <w:rFonts w:ascii="Palatino Linotype" w:hAnsi="Palatino Linotype"/>
          <w:b/>
          <w:sz w:val="22"/>
          <w:szCs w:val="22"/>
        </w:rPr>
      </w:pPr>
    </w:p>
    <w:p w:rsidR="0098446E" w:rsidRDefault="0098446E" w:rsidP="00045B3E">
      <w:pPr>
        <w:pStyle w:val="ListParagraph"/>
        <w:rPr>
          <w:rFonts w:ascii="Palatino Linotype" w:hAnsi="Palatino Linotype"/>
          <w:b/>
          <w:sz w:val="22"/>
          <w:szCs w:val="22"/>
        </w:rPr>
      </w:pPr>
    </w:p>
    <w:p w:rsidR="0098446E" w:rsidRDefault="0098446E" w:rsidP="00045B3E">
      <w:pPr>
        <w:pStyle w:val="ListParagraph"/>
        <w:rPr>
          <w:rFonts w:ascii="Palatino Linotype" w:hAnsi="Palatino Linotype"/>
          <w:b/>
          <w:sz w:val="22"/>
          <w:szCs w:val="22"/>
        </w:rPr>
      </w:pPr>
    </w:p>
    <w:p w:rsidR="0098446E" w:rsidRDefault="0098446E" w:rsidP="00045B3E">
      <w:pPr>
        <w:pStyle w:val="ListParagraph"/>
        <w:rPr>
          <w:rFonts w:ascii="Palatino Linotype" w:hAnsi="Palatino Linotype"/>
          <w:b/>
          <w:sz w:val="22"/>
          <w:szCs w:val="22"/>
        </w:rPr>
      </w:pPr>
    </w:p>
    <w:p w:rsidR="0098446E" w:rsidRDefault="0098446E" w:rsidP="00045B3E">
      <w:pPr>
        <w:pStyle w:val="ListParagraph"/>
        <w:rPr>
          <w:rFonts w:ascii="Palatino Linotype" w:hAnsi="Palatino Linotype"/>
          <w:b/>
          <w:sz w:val="22"/>
          <w:szCs w:val="22"/>
        </w:rPr>
      </w:pPr>
    </w:p>
    <w:p w:rsidR="0098446E" w:rsidRDefault="0098446E" w:rsidP="00045B3E">
      <w:pPr>
        <w:pStyle w:val="ListParagraph"/>
        <w:rPr>
          <w:rFonts w:ascii="Palatino Linotype" w:hAnsi="Palatino Linotype"/>
          <w:b/>
          <w:sz w:val="22"/>
          <w:szCs w:val="22"/>
        </w:rPr>
      </w:pPr>
    </w:p>
    <w:p w:rsidR="0098446E" w:rsidRDefault="0098446E" w:rsidP="00045B3E">
      <w:pPr>
        <w:pStyle w:val="ListParagraph"/>
        <w:rPr>
          <w:rFonts w:ascii="Palatino Linotype" w:hAnsi="Palatino Linotype"/>
          <w:b/>
          <w:sz w:val="22"/>
          <w:szCs w:val="22"/>
        </w:rPr>
      </w:pPr>
    </w:p>
    <w:p w:rsidR="00E34D03" w:rsidRPr="00E34D03" w:rsidRDefault="00E34D03" w:rsidP="00045B3E">
      <w:pPr>
        <w:pStyle w:val="ListParagraph"/>
        <w:spacing w:line="240" w:lineRule="auto"/>
        <w:rPr>
          <w:rFonts w:ascii="Palatino Linotype" w:hAnsi="Palatino Linotype"/>
          <w:b/>
          <w:sz w:val="22"/>
          <w:szCs w:val="22"/>
        </w:rPr>
      </w:pPr>
      <w:r w:rsidRPr="00E34D03">
        <w:rPr>
          <w:rFonts w:ascii="Palatino Linotype" w:hAnsi="Palatino Linotype"/>
          <w:b/>
          <w:sz w:val="22"/>
          <w:szCs w:val="22"/>
        </w:rPr>
        <w:t>Figure 11: Trends in FPIs Investment (</w:t>
      </w:r>
      <w:r w:rsidRPr="00E34D03">
        <w:rPr>
          <w:rFonts w:ascii="Tahoma" w:eastAsia="Times New Roman" w:hAnsi="Tahoma" w:cs="Tahoma"/>
          <w:b/>
          <w:sz w:val="22"/>
          <w:szCs w:val="22"/>
        </w:rPr>
        <w:t>₹</w:t>
      </w:r>
      <w:r w:rsidRPr="00E34D03">
        <w:rPr>
          <w:rFonts w:ascii="Palatino Linotype" w:hAnsi="Palatino Linotype"/>
          <w:b/>
          <w:sz w:val="22"/>
          <w:szCs w:val="22"/>
        </w:rPr>
        <w:t xml:space="preserve"> crore)</w:t>
      </w:r>
    </w:p>
    <w:p w:rsidR="00A22BC9" w:rsidRPr="00A22BC9" w:rsidRDefault="00227721" w:rsidP="0032036A">
      <w:pPr>
        <w:jc w:val="both"/>
        <w:rPr>
          <w:rFonts w:ascii="Palatino Linotype" w:eastAsia="Times New Roman" w:hAnsi="Palatino Linotype" w:cs="Calibri"/>
          <w:sz w:val="22"/>
          <w:szCs w:val="22"/>
        </w:rPr>
      </w:pPr>
      <w:r>
        <w:rPr>
          <w:noProof/>
          <w:lang w:val="en-US" w:bidi="hi-IN"/>
        </w:rPr>
        <w:drawing>
          <wp:inline distT="0" distB="0" distL="0" distR="0" wp14:anchorId="71BD60FE" wp14:editId="08D9F3DE">
            <wp:extent cx="5640869" cy="2600739"/>
            <wp:effectExtent l="0" t="0" r="17145"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2036A" w:rsidRPr="009A0EB3" w:rsidRDefault="0032036A" w:rsidP="0032036A">
      <w:pPr>
        <w:widowControl w:val="0"/>
        <w:ind w:left="720"/>
        <w:contextualSpacing/>
        <w:jc w:val="both"/>
        <w:rPr>
          <w:rFonts w:ascii="Palatino Linotype" w:eastAsia="Times New Roman" w:hAnsi="Palatino Linotype"/>
          <w:b/>
          <w:color w:val="FF0000"/>
          <w:sz w:val="22"/>
          <w:szCs w:val="22"/>
        </w:rPr>
      </w:pPr>
    </w:p>
    <w:p w:rsidR="0032036A" w:rsidRPr="005A1BA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 xml:space="preserve">Trends in Portfolio Management Services </w:t>
      </w:r>
    </w:p>
    <w:p w:rsidR="0032036A" w:rsidRPr="009A0EB3" w:rsidRDefault="0032036A" w:rsidP="0032036A">
      <w:pPr>
        <w:widowControl w:val="0"/>
        <w:tabs>
          <w:tab w:val="left" w:pos="2190"/>
        </w:tabs>
        <w:jc w:val="both"/>
        <w:rPr>
          <w:rFonts w:ascii="Palatino Linotype" w:eastAsia="Times New Roman" w:hAnsi="Palatino Linotype"/>
          <w:sz w:val="22"/>
          <w:szCs w:val="22"/>
        </w:rPr>
      </w:pPr>
      <w:r w:rsidRPr="009A0EB3">
        <w:rPr>
          <w:rFonts w:ascii="Palatino Linotype" w:eastAsia="Times New Roman" w:hAnsi="Palatino Linotype"/>
          <w:sz w:val="22"/>
          <w:szCs w:val="22"/>
        </w:rPr>
        <w:tab/>
      </w:r>
    </w:p>
    <w:p w:rsidR="0032036A" w:rsidRPr="00186E61" w:rsidRDefault="0090561B" w:rsidP="001F078D">
      <w:pPr>
        <w:pStyle w:val="ListParagraph"/>
        <w:numPr>
          <w:ilvl w:val="0"/>
          <w:numId w:val="16"/>
        </w:numPr>
        <w:jc w:val="both"/>
        <w:rPr>
          <w:rFonts w:ascii="Palatino Linotype" w:eastAsia="Times New Roman" w:hAnsi="Palatino Linotype"/>
          <w:color w:val="000000" w:themeColor="text1"/>
          <w:sz w:val="22"/>
          <w:szCs w:val="22"/>
        </w:rPr>
      </w:pPr>
      <w:r w:rsidRPr="00186E61">
        <w:rPr>
          <w:rFonts w:ascii="Palatino Linotype" w:eastAsia="Times New Roman" w:hAnsi="Palatino Linotype"/>
          <w:color w:val="000000" w:themeColor="text1"/>
          <w:sz w:val="22"/>
          <w:szCs w:val="22"/>
        </w:rPr>
        <w:lastRenderedPageBreak/>
        <w:t xml:space="preserve">As on </w:t>
      </w:r>
      <w:r w:rsidR="007272D4">
        <w:rPr>
          <w:rFonts w:ascii="Palatino Linotype" w:eastAsia="Times New Roman" w:hAnsi="Palatino Linotype"/>
          <w:color w:val="000000" w:themeColor="text1"/>
          <w:sz w:val="22"/>
          <w:szCs w:val="22"/>
        </w:rPr>
        <w:t>September</w:t>
      </w:r>
      <w:r w:rsidRPr="00186E61">
        <w:rPr>
          <w:rFonts w:ascii="Palatino Linotype" w:eastAsia="Times New Roman" w:hAnsi="Palatino Linotype"/>
          <w:color w:val="000000" w:themeColor="text1"/>
          <w:sz w:val="22"/>
          <w:szCs w:val="22"/>
        </w:rPr>
        <w:t xml:space="preserve"> 30</w:t>
      </w:r>
      <w:r w:rsidR="00325395">
        <w:rPr>
          <w:rFonts w:ascii="Palatino Linotype" w:eastAsia="Times New Roman" w:hAnsi="Palatino Linotype"/>
          <w:color w:val="000000" w:themeColor="text1"/>
          <w:sz w:val="22"/>
          <w:szCs w:val="22"/>
        </w:rPr>
        <w:t>,</w:t>
      </w:r>
      <w:r w:rsidR="0032036A" w:rsidRPr="00186E61">
        <w:rPr>
          <w:rFonts w:ascii="Palatino Linotype" w:eastAsia="Times New Roman" w:hAnsi="Palatino Linotype"/>
          <w:color w:val="000000" w:themeColor="text1"/>
          <w:sz w:val="22"/>
          <w:szCs w:val="22"/>
        </w:rPr>
        <w:t xml:space="preserve"> 2019, AUM of the portfolio management industry </w:t>
      </w:r>
      <w:r w:rsidRPr="00186E61">
        <w:rPr>
          <w:rFonts w:ascii="Palatino Linotype" w:eastAsia="Times New Roman" w:hAnsi="Palatino Linotype"/>
          <w:color w:val="000000" w:themeColor="text1"/>
          <w:sz w:val="22"/>
          <w:szCs w:val="22"/>
        </w:rPr>
        <w:t>in</w:t>
      </w:r>
      <w:r w:rsidR="0032036A" w:rsidRPr="00186E61">
        <w:rPr>
          <w:rFonts w:ascii="Palatino Linotype" w:eastAsia="Times New Roman" w:hAnsi="Palatino Linotype"/>
          <w:color w:val="000000" w:themeColor="text1"/>
          <w:sz w:val="22"/>
          <w:szCs w:val="22"/>
        </w:rPr>
        <w:t xml:space="preserve">creased by </w:t>
      </w:r>
      <w:r w:rsidR="007272D4">
        <w:rPr>
          <w:rFonts w:ascii="Palatino Linotype" w:eastAsia="Times New Roman" w:hAnsi="Palatino Linotype"/>
          <w:color w:val="000000" w:themeColor="text1"/>
          <w:sz w:val="22"/>
          <w:szCs w:val="22"/>
        </w:rPr>
        <w:t>2.1</w:t>
      </w:r>
      <w:r w:rsidR="0032036A" w:rsidRPr="00186E61">
        <w:rPr>
          <w:rFonts w:ascii="Palatino Linotype" w:eastAsia="Times New Roman" w:hAnsi="Palatino Linotype"/>
          <w:color w:val="000000" w:themeColor="text1"/>
          <w:sz w:val="22"/>
          <w:szCs w:val="22"/>
        </w:rPr>
        <w:t xml:space="preserve"> per cent </w:t>
      </w:r>
      <w:r w:rsidR="0032036A" w:rsidRPr="00186E61">
        <w:rPr>
          <w:rFonts w:ascii="Palatino Linotype" w:eastAsia="Times New Roman" w:hAnsi="Palatino Linotype"/>
          <w:bCs/>
          <w:color w:val="000000" w:themeColor="text1"/>
          <w:sz w:val="22"/>
          <w:szCs w:val="22"/>
        </w:rPr>
        <w:t xml:space="preserve">to </w:t>
      </w:r>
      <w:r w:rsidR="0032036A" w:rsidRPr="00186E61">
        <w:rPr>
          <w:rFonts w:ascii="Times New Roman" w:eastAsia="Times New Roman" w:hAnsi="Times New Roman"/>
          <w:bCs/>
          <w:color w:val="000000" w:themeColor="text1"/>
          <w:sz w:val="22"/>
          <w:szCs w:val="22"/>
        </w:rPr>
        <w:t>₹</w:t>
      </w:r>
      <w:r w:rsidR="0032036A" w:rsidRPr="00186E61">
        <w:rPr>
          <w:rFonts w:ascii="Palatino Linotype" w:eastAsia="Times New Roman" w:hAnsi="Palatino Linotype"/>
          <w:bCs/>
          <w:color w:val="000000" w:themeColor="text1"/>
          <w:sz w:val="22"/>
          <w:szCs w:val="22"/>
        </w:rPr>
        <w:t xml:space="preserve"> </w:t>
      </w:r>
      <w:r w:rsidR="007272D4">
        <w:rPr>
          <w:rFonts w:ascii="Palatino Linotype" w:eastAsia="Times New Roman" w:hAnsi="Palatino Linotype"/>
          <w:bCs/>
          <w:color w:val="000000" w:themeColor="text1"/>
          <w:sz w:val="22"/>
          <w:szCs w:val="22"/>
        </w:rPr>
        <w:t>17.1</w:t>
      </w:r>
      <w:r w:rsidR="0032036A" w:rsidRPr="00186E61">
        <w:rPr>
          <w:rFonts w:ascii="Palatino Linotype" w:eastAsia="Times New Roman" w:hAnsi="Palatino Linotype"/>
          <w:bCs/>
          <w:color w:val="000000" w:themeColor="text1"/>
          <w:sz w:val="22"/>
          <w:szCs w:val="22"/>
        </w:rPr>
        <w:t xml:space="preserve"> lakh crore from </w:t>
      </w:r>
      <w:r w:rsidR="0032036A" w:rsidRPr="00186E61">
        <w:rPr>
          <w:rFonts w:ascii="Times New Roman" w:eastAsia="Times New Roman" w:hAnsi="Times New Roman"/>
          <w:bCs/>
          <w:color w:val="000000" w:themeColor="text1"/>
          <w:sz w:val="22"/>
          <w:szCs w:val="22"/>
        </w:rPr>
        <w:t>₹</w:t>
      </w:r>
      <w:r w:rsidR="0032036A" w:rsidRPr="00186E61">
        <w:rPr>
          <w:rFonts w:ascii="Palatino Linotype" w:eastAsia="Times New Roman" w:hAnsi="Palatino Linotype"/>
          <w:bCs/>
          <w:color w:val="000000" w:themeColor="text1"/>
          <w:sz w:val="22"/>
          <w:szCs w:val="22"/>
        </w:rPr>
        <w:t xml:space="preserve"> 16.</w:t>
      </w:r>
      <w:r w:rsidR="007272D4">
        <w:rPr>
          <w:rFonts w:ascii="Palatino Linotype" w:eastAsia="Times New Roman" w:hAnsi="Palatino Linotype"/>
          <w:bCs/>
          <w:color w:val="000000" w:themeColor="text1"/>
          <w:sz w:val="22"/>
          <w:szCs w:val="22"/>
        </w:rPr>
        <w:t>7</w:t>
      </w:r>
      <w:r w:rsidR="0032036A" w:rsidRPr="00186E61">
        <w:rPr>
          <w:rFonts w:ascii="Palatino Linotype" w:eastAsia="Times New Roman" w:hAnsi="Palatino Linotype"/>
          <w:bCs/>
          <w:color w:val="000000" w:themeColor="text1"/>
          <w:sz w:val="22"/>
          <w:szCs w:val="22"/>
        </w:rPr>
        <w:t xml:space="preserve"> lakh crore in </w:t>
      </w:r>
      <w:r w:rsidR="007272D4">
        <w:rPr>
          <w:rFonts w:ascii="Palatino Linotype" w:eastAsia="Times New Roman" w:hAnsi="Palatino Linotype"/>
          <w:bCs/>
          <w:color w:val="000000" w:themeColor="text1"/>
          <w:sz w:val="22"/>
          <w:szCs w:val="22"/>
        </w:rPr>
        <w:t>August</w:t>
      </w:r>
      <w:r w:rsidR="0032036A" w:rsidRPr="00186E61">
        <w:rPr>
          <w:rFonts w:ascii="Palatino Linotype" w:eastAsia="Times New Roman" w:hAnsi="Palatino Linotype"/>
          <w:bCs/>
          <w:color w:val="000000" w:themeColor="text1"/>
          <w:sz w:val="22"/>
          <w:szCs w:val="22"/>
        </w:rPr>
        <w:t xml:space="preserve"> 2019. Of the total</w:t>
      </w:r>
      <w:r w:rsidR="007272D4">
        <w:rPr>
          <w:rFonts w:ascii="Palatino Linotype" w:eastAsia="Times New Roman" w:hAnsi="Palatino Linotype"/>
          <w:bCs/>
          <w:color w:val="000000" w:themeColor="text1"/>
          <w:sz w:val="22"/>
          <w:szCs w:val="22"/>
        </w:rPr>
        <w:t>,</w:t>
      </w:r>
      <w:r w:rsidR="007272D4" w:rsidRPr="00186E61">
        <w:rPr>
          <w:rFonts w:ascii="Palatino Linotype" w:eastAsia="Times New Roman" w:hAnsi="Palatino Linotype"/>
          <w:bCs/>
          <w:color w:val="000000" w:themeColor="text1"/>
          <w:sz w:val="22"/>
          <w:szCs w:val="22"/>
        </w:rPr>
        <w:t xml:space="preserve"> AUM</w:t>
      </w:r>
      <w:r w:rsidR="0032036A" w:rsidRPr="00186E61">
        <w:rPr>
          <w:rFonts w:ascii="Palatino Linotype" w:eastAsia="Times New Roman" w:hAnsi="Palatino Linotype"/>
          <w:bCs/>
          <w:color w:val="000000" w:themeColor="text1"/>
          <w:sz w:val="22"/>
          <w:szCs w:val="22"/>
        </w:rPr>
        <w:t xml:space="preserve"> of fund managers of EPFO/PFs contributed </w:t>
      </w:r>
      <w:r w:rsidR="0032036A" w:rsidRPr="00186E61">
        <w:rPr>
          <w:rFonts w:ascii="Times New Roman" w:eastAsia="Times New Roman" w:hAnsi="Times New Roman"/>
          <w:bCs/>
          <w:color w:val="000000" w:themeColor="text1"/>
          <w:sz w:val="22"/>
          <w:szCs w:val="22"/>
        </w:rPr>
        <w:t>₹</w:t>
      </w:r>
      <w:r w:rsidR="0032036A" w:rsidRPr="00186E61">
        <w:rPr>
          <w:rFonts w:ascii="Palatino Linotype" w:eastAsia="Times New Roman" w:hAnsi="Palatino Linotype"/>
          <w:bCs/>
          <w:color w:val="000000" w:themeColor="text1"/>
          <w:sz w:val="22"/>
          <w:szCs w:val="22"/>
        </w:rPr>
        <w:t xml:space="preserve"> 1</w:t>
      </w:r>
      <w:r w:rsidRPr="00186E61">
        <w:rPr>
          <w:rFonts w:ascii="Palatino Linotype" w:eastAsia="Times New Roman" w:hAnsi="Palatino Linotype"/>
          <w:bCs/>
          <w:color w:val="000000" w:themeColor="text1"/>
          <w:sz w:val="22"/>
          <w:szCs w:val="22"/>
        </w:rPr>
        <w:t>2.3</w:t>
      </w:r>
      <w:r w:rsidR="0032036A" w:rsidRPr="00186E61">
        <w:rPr>
          <w:rFonts w:ascii="Palatino Linotype" w:eastAsia="Times New Roman" w:hAnsi="Palatino Linotype"/>
          <w:bCs/>
          <w:color w:val="000000" w:themeColor="text1"/>
          <w:sz w:val="22"/>
          <w:szCs w:val="22"/>
        </w:rPr>
        <w:t xml:space="preserve"> lakh crore (</w:t>
      </w:r>
      <w:r w:rsidR="00D86166">
        <w:rPr>
          <w:rFonts w:ascii="Palatino Linotype" w:eastAsia="Times New Roman" w:hAnsi="Palatino Linotype"/>
          <w:bCs/>
          <w:color w:val="000000" w:themeColor="text1"/>
          <w:sz w:val="22"/>
          <w:szCs w:val="22"/>
        </w:rPr>
        <w:t>i.e.,</w:t>
      </w:r>
      <w:r w:rsidR="0032036A" w:rsidRPr="00186E61">
        <w:rPr>
          <w:rFonts w:ascii="Palatino Linotype" w:eastAsia="Times New Roman" w:hAnsi="Palatino Linotype"/>
          <w:bCs/>
          <w:color w:val="000000" w:themeColor="text1"/>
          <w:sz w:val="22"/>
          <w:szCs w:val="22"/>
        </w:rPr>
        <w:t xml:space="preserve"> </w:t>
      </w:r>
      <w:r w:rsidRPr="00186E61">
        <w:rPr>
          <w:rFonts w:ascii="Palatino Linotype" w:eastAsia="Times New Roman" w:hAnsi="Palatino Linotype"/>
          <w:bCs/>
          <w:color w:val="000000" w:themeColor="text1"/>
          <w:sz w:val="22"/>
          <w:szCs w:val="22"/>
        </w:rPr>
        <w:t>73.6</w:t>
      </w:r>
      <w:r w:rsidR="0032036A" w:rsidRPr="00186E61">
        <w:rPr>
          <w:rFonts w:ascii="Palatino Linotype" w:eastAsia="Times New Roman" w:hAnsi="Palatino Linotype"/>
          <w:bCs/>
          <w:color w:val="000000" w:themeColor="text1"/>
          <w:sz w:val="22"/>
          <w:szCs w:val="22"/>
        </w:rPr>
        <w:t xml:space="preserve"> per cent of total AUM). </w:t>
      </w:r>
    </w:p>
    <w:p w:rsidR="0032036A" w:rsidRPr="00186E61" w:rsidRDefault="0032036A" w:rsidP="001F078D">
      <w:pPr>
        <w:pStyle w:val="ListParagraph"/>
        <w:numPr>
          <w:ilvl w:val="0"/>
          <w:numId w:val="16"/>
        </w:numPr>
        <w:jc w:val="both"/>
        <w:rPr>
          <w:rFonts w:ascii="Palatino Linotype" w:eastAsia="Times New Roman" w:hAnsi="Palatino Linotype"/>
          <w:color w:val="000000" w:themeColor="text1"/>
          <w:sz w:val="22"/>
          <w:szCs w:val="22"/>
        </w:rPr>
      </w:pPr>
      <w:r w:rsidRPr="00186E61">
        <w:rPr>
          <w:rFonts w:ascii="Palatino Linotype" w:eastAsia="Times New Roman" w:hAnsi="Palatino Linotype" w:cs="Calibri"/>
          <w:color w:val="000000" w:themeColor="text1"/>
          <w:sz w:val="22"/>
          <w:szCs w:val="22"/>
        </w:rPr>
        <w:t xml:space="preserve">In terms of </w:t>
      </w:r>
      <w:r w:rsidRPr="00186E61">
        <w:rPr>
          <w:rFonts w:ascii="Palatino Linotype" w:eastAsia="Times New Roman" w:hAnsi="Palatino Linotype"/>
          <w:color w:val="000000" w:themeColor="text1"/>
          <w:sz w:val="22"/>
          <w:szCs w:val="22"/>
        </w:rPr>
        <w:t xml:space="preserve">number of clients in PMS industry at the end of </w:t>
      </w:r>
      <w:r w:rsidR="00EE7A5F">
        <w:rPr>
          <w:rFonts w:ascii="Palatino Linotype" w:eastAsia="Times New Roman" w:hAnsi="Palatino Linotype"/>
          <w:color w:val="000000" w:themeColor="text1"/>
          <w:sz w:val="22"/>
          <w:szCs w:val="22"/>
        </w:rPr>
        <w:t>September</w:t>
      </w:r>
      <w:r w:rsidRPr="00186E61">
        <w:rPr>
          <w:rFonts w:ascii="Palatino Linotype" w:eastAsia="Times New Roman" w:hAnsi="Palatino Linotype"/>
          <w:color w:val="000000" w:themeColor="text1"/>
          <w:sz w:val="22"/>
          <w:szCs w:val="22"/>
        </w:rPr>
        <w:t xml:space="preserve"> 2019, discretionary services category topped with </w:t>
      </w:r>
      <w:r w:rsidR="00EE7A5F" w:rsidRPr="00EE7A5F">
        <w:rPr>
          <w:rFonts w:ascii="Palatino Linotype" w:eastAsia="Times New Roman" w:hAnsi="Palatino Linotype"/>
          <w:color w:val="000000" w:themeColor="text1"/>
          <w:sz w:val="22"/>
          <w:szCs w:val="22"/>
        </w:rPr>
        <w:t>1</w:t>
      </w:r>
      <w:r w:rsidR="00EE7A5F">
        <w:rPr>
          <w:rFonts w:ascii="Palatino Linotype" w:eastAsia="Times New Roman" w:hAnsi="Palatino Linotype"/>
          <w:color w:val="000000" w:themeColor="text1"/>
          <w:sz w:val="22"/>
          <w:szCs w:val="22"/>
        </w:rPr>
        <w:t>,</w:t>
      </w:r>
      <w:r w:rsidR="00EE7A5F" w:rsidRPr="00EE7A5F">
        <w:rPr>
          <w:rFonts w:ascii="Palatino Linotype" w:eastAsia="Times New Roman" w:hAnsi="Palatino Linotype"/>
          <w:color w:val="000000" w:themeColor="text1"/>
          <w:sz w:val="22"/>
          <w:szCs w:val="22"/>
        </w:rPr>
        <w:t>47</w:t>
      </w:r>
      <w:r w:rsidR="00EE7A5F">
        <w:rPr>
          <w:rFonts w:ascii="Palatino Linotype" w:eastAsia="Times New Roman" w:hAnsi="Palatino Linotype"/>
          <w:color w:val="000000" w:themeColor="text1"/>
          <w:sz w:val="22"/>
          <w:szCs w:val="22"/>
        </w:rPr>
        <w:t>,</w:t>
      </w:r>
      <w:r w:rsidR="00EE7A5F" w:rsidRPr="00EE7A5F">
        <w:rPr>
          <w:rFonts w:ascii="Palatino Linotype" w:eastAsia="Times New Roman" w:hAnsi="Palatino Linotype"/>
          <w:color w:val="000000" w:themeColor="text1"/>
          <w:sz w:val="22"/>
          <w:szCs w:val="22"/>
        </w:rPr>
        <w:t>638</w:t>
      </w:r>
      <w:r w:rsidR="0090561B" w:rsidRPr="00186E61">
        <w:rPr>
          <w:rFonts w:ascii="Palatino Linotype" w:eastAsia="Times New Roman" w:hAnsi="Palatino Linotype"/>
          <w:color w:val="000000" w:themeColor="text1"/>
          <w:sz w:val="22"/>
          <w:szCs w:val="22"/>
        </w:rPr>
        <w:t xml:space="preserve"> </w:t>
      </w:r>
      <w:r w:rsidRPr="00186E61">
        <w:rPr>
          <w:rFonts w:ascii="Palatino Linotype" w:eastAsia="Times New Roman" w:hAnsi="Palatino Linotype"/>
          <w:color w:val="000000" w:themeColor="text1"/>
          <w:sz w:val="22"/>
          <w:szCs w:val="22"/>
        </w:rPr>
        <w:t xml:space="preserve">clients, followed by non-discretionary category with </w:t>
      </w:r>
      <w:r w:rsidR="00EE7A5F" w:rsidRPr="00EE7A5F">
        <w:rPr>
          <w:rFonts w:ascii="Palatino Linotype" w:eastAsia="Times New Roman" w:hAnsi="Palatino Linotype"/>
          <w:color w:val="000000" w:themeColor="text1"/>
          <w:sz w:val="22"/>
          <w:szCs w:val="22"/>
        </w:rPr>
        <w:t>7</w:t>
      </w:r>
      <w:r w:rsidR="00EE7A5F">
        <w:rPr>
          <w:rFonts w:ascii="Palatino Linotype" w:eastAsia="Times New Roman" w:hAnsi="Palatino Linotype"/>
          <w:color w:val="000000" w:themeColor="text1"/>
          <w:sz w:val="22"/>
          <w:szCs w:val="22"/>
        </w:rPr>
        <w:t>,</w:t>
      </w:r>
      <w:r w:rsidR="00EE7A5F" w:rsidRPr="00EE7A5F">
        <w:rPr>
          <w:rFonts w:ascii="Palatino Linotype" w:eastAsia="Times New Roman" w:hAnsi="Palatino Linotype"/>
          <w:color w:val="000000" w:themeColor="text1"/>
          <w:sz w:val="22"/>
          <w:szCs w:val="22"/>
        </w:rPr>
        <w:t>705</w:t>
      </w:r>
      <w:r w:rsidR="00EE7A5F">
        <w:rPr>
          <w:rFonts w:ascii="Palatino Linotype" w:eastAsia="Times New Roman" w:hAnsi="Palatino Linotype"/>
          <w:color w:val="000000" w:themeColor="text1"/>
          <w:sz w:val="22"/>
          <w:szCs w:val="22"/>
        </w:rPr>
        <w:t xml:space="preserve"> </w:t>
      </w:r>
      <w:r w:rsidRPr="00186E61">
        <w:rPr>
          <w:rFonts w:ascii="Palatino Linotype" w:eastAsia="Times New Roman" w:hAnsi="Palatino Linotype"/>
          <w:color w:val="000000" w:themeColor="text1"/>
          <w:sz w:val="22"/>
          <w:szCs w:val="22"/>
        </w:rPr>
        <w:t xml:space="preserve">clients and advisory category with </w:t>
      </w:r>
      <w:r w:rsidR="00EE7A5F" w:rsidRPr="00EE7A5F">
        <w:rPr>
          <w:rFonts w:ascii="Palatino Linotype" w:eastAsia="Times New Roman" w:hAnsi="Palatino Linotype"/>
          <w:color w:val="000000" w:themeColor="text1"/>
          <w:sz w:val="22"/>
          <w:szCs w:val="22"/>
        </w:rPr>
        <w:t>4</w:t>
      </w:r>
      <w:r w:rsidR="00EE7A5F">
        <w:rPr>
          <w:rFonts w:ascii="Palatino Linotype" w:eastAsia="Times New Roman" w:hAnsi="Palatino Linotype"/>
          <w:color w:val="000000" w:themeColor="text1"/>
          <w:sz w:val="22"/>
          <w:szCs w:val="22"/>
        </w:rPr>
        <w:t>,</w:t>
      </w:r>
      <w:r w:rsidR="00EE7A5F" w:rsidRPr="00EE7A5F">
        <w:rPr>
          <w:rFonts w:ascii="Palatino Linotype" w:eastAsia="Times New Roman" w:hAnsi="Palatino Linotype"/>
          <w:color w:val="000000" w:themeColor="text1"/>
          <w:sz w:val="22"/>
          <w:szCs w:val="22"/>
        </w:rPr>
        <w:t>075</w:t>
      </w:r>
      <w:r w:rsidR="00EE7A5F">
        <w:rPr>
          <w:rFonts w:ascii="Palatino Linotype" w:eastAsia="Times New Roman" w:hAnsi="Palatino Linotype"/>
          <w:color w:val="000000" w:themeColor="text1"/>
          <w:sz w:val="22"/>
          <w:szCs w:val="22"/>
        </w:rPr>
        <w:t xml:space="preserve"> </w:t>
      </w:r>
      <w:r w:rsidRPr="00186E61">
        <w:rPr>
          <w:rFonts w:ascii="Palatino Linotype" w:eastAsia="Times New Roman" w:hAnsi="Palatino Linotype"/>
          <w:color w:val="000000" w:themeColor="text1"/>
          <w:sz w:val="22"/>
          <w:szCs w:val="22"/>
        </w:rPr>
        <w:t>clients.</w:t>
      </w:r>
    </w:p>
    <w:p w:rsidR="0032036A" w:rsidRPr="009A0EB3" w:rsidRDefault="0032036A" w:rsidP="0032036A">
      <w:pPr>
        <w:widowControl w:val="0"/>
        <w:jc w:val="both"/>
        <w:rPr>
          <w:rFonts w:ascii="Palatino Linotype" w:eastAsia="Times New Roman" w:hAnsi="Palatino Linotype"/>
          <w:color w:val="000099"/>
          <w:sz w:val="22"/>
          <w:szCs w:val="22"/>
          <w:highlight w:val="yellow"/>
        </w:rPr>
      </w:pP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Substantial Acquisition of Shares and Takeovers</w:t>
      </w:r>
    </w:p>
    <w:p w:rsidR="0032036A" w:rsidRPr="009A0EB3" w:rsidRDefault="0032036A" w:rsidP="0032036A">
      <w:pPr>
        <w:jc w:val="both"/>
        <w:rPr>
          <w:rFonts w:ascii="Palatino Linotype" w:eastAsia="Times New Roman" w:hAnsi="Palatino Linotype"/>
          <w:sz w:val="22"/>
          <w:szCs w:val="22"/>
        </w:rPr>
      </w:pPr>
    </w:p>
    <w:p w:rsidR="0032036A" w:rsidRDefault="0032036A" w:rsidP="0032036A">
      <w:pPr>
        <w:jc w:val="both"/>
        <w:rPr>
          <w:rFonts w:ascii="Palatino Linotype" w:eastAsia="Times New Roman" w:hAnsi="Palatino Linotype" w:cs="Garamond"/>
          <w:sz w:val="22"/>
          <w:szCs w:val="22"/>
        </w:rPr>
      </w:pPr>
      <w:r w:rsidRPr="009A0EB3">
        <w:rPr>
          <w:rFonts w:ascii="Palatino Linotype" w:eastAsia="Times New Roman" w:hAnsi="Palatino Linotype"/>
          <w:sz w:val="22"/>
          <w:szCs w:val="22"/>
        </w:rPr>
        <w:t xml:space="preserve">During </w:t>
      </w:r>
      <w:r w:rsidR="007272D4">
        <w:rPr>
          <w:rFonts w:ascii="Palatino Linotype" w:eastAsia="Times New Roman" w:hAnsi="Palatino Linotype"/>
          <w:sz w:val="22"/>
          <w:szCs w:val="22"/>
        </w:rPr>
        <w:t>September</w:t>
      </w:r>
      <w:r w:rsidRPr="009A0EB3">
        <w:rPr>
          <w:rFonts w:ascii="Palatino Linotype" w:eastAsia="Times New Roman" w:hAnsi="Palatino Linotype"/>
          <w:sz w:val="22"/>
          <w:szCs w:val="22"/>
        </w:rPr>
        <w:t xml:space="preserve"> 2019, </w:t>
      </w:r>
      <w:r w:rsidR="007272D4">
        <w:rPr>
          <w:rFonts w:ascii="Palatino Linotype" w:eastAsia="Times New Roman" w:hAnsi="Palatino Linotype"/>
          <w:sz w:val="22"/>
          <w:szCs w:val="22"/>
        </w:rPr>
        <w:t>12</w:t>
      </w:r>
      <w:r w:rsidRPr="009A0EB3">
        <w:rPr>
          <w:rFonts w:ascii="Palatino Linotype" w:eastAsia="Times New Roman" w:hAnsi="Palatino Linotype"/>
          <w:sz w:val="22"/>
          <w:szCs w:val="22"/>
        </w:rPr>
        <w:t xml:space="preserve"> open offers with offer value of </w:t>
      </w:r>
      <w:r w:rsidRPr="009A0EB3">
        <w:rPr>
          <w:rFonts w:ascii="Tahoma" w:eastAsia="Times New Roman" w:hAnsi="Tahoma" w:cs="Tahoma"/>
          <w:sz w:val="22"/>
          <w:szCs w:val="22"/>
        </w:rPr>
        <w:t>₹</w:t>
      </w:r>
      <w:r w:rsidRPr="009A0EB3">
        <w:rPr>
          <w:rFonts w:ascii="Palatino Linotype" w:eastAsia="Times New Roman" w:hAnsi="Palatino Linotype"/>
          <w:sz w:val="22"/>
          <w:szCs w:val="22"/>
          <w:lang w:val="en-US"/>
        </w:rPr>
        <w:t xml:space="preserve"> </w:t>
      </w:r>
      <w:r w:rsidR="007272D4" w:rsidRPr="007272D4">
        <w:rPr>
          <w:rFonts w:ascii="Palatino Linotype" w:eastAsia="Times New Roman" w:hAnsi="Palatino Linotype"/>
          <w:sz w:val="22"/>
          <w:szCs w:val="22"/>
          <w:lang w:val="en-US"/>
        </w:rPr>
        <w:t>1,502</w:t>
      </w:r>
      <w:r w:rsidR="007272D4">
        <w:rPr>
          <w:rFonts w:ascii="Palatino Linotype" w:eastAsia="Times New Roman" w:hAnsi="Palatino Linotype"/>
          <w:sz w:val="22"/>
          <w:szCs w:val="22"/>
          <w:lang w:val="en-US"/>
        </w:rPr>
        <w:t xml:space="preserve"> </w:t>
      </w:r>
      <w:r w:rsidRPr="009A0EB3">
        <w:rPr>
          <w:rFonts w:ascii="Palatino Linotype" w:eastAsia="Times New Roman" w:hAnsi="Palatino Linotype"/>
          <w:sz w:val="22"/>
          <w:szCs w:val="22"/>
          <w:lang w:val="en-US"/>
        </w:rPr>
        <w:t>crore</w:t>
      </w:r>
      <w:r w:rsidRPr="009A0EB3">
        <w:rPr>
          <w:rFonts w:ascii="Palatino Linotype" w:eastAsia="Times New Roman" w:hAnsi="Palatino Linotype" w:cs="Garamond"/>
          <w:sz w:val="22"/>
          <w:szCs w:val="22"/>
        </w:rPr>
        <w:t xml:space="preserve"> was made to the shareholders as against </w:t>
      </w:r>
      <w:r w:rsidR="005363D6" w:rsidRPr="005363D6">
        <w:rPr>
          <w:rFonts w:ascii="Palatino Linotype" w:eastAsia="Times New Roman" w:hAnsi="Palatino Linotype"/>
          <w:sz w:val="22"/>
          <w:szCs w:val="22"/>
        </w:rPr>
        <w:t xml:space="preserve">five open offers with offer value of </w:t>
      </w:r>
      <w:r w:rsidR="005363D6" w:rsidRPr="005363D6">
        <w:rPr>
          <w:rFonts w:ascii="Times New Roman" w:eastAsia="Times New Roman" w:hAnsi="Times New Roman"/>
          <w:sz w:val="22"/>
          <w:szCs w:val="22"/>
        </w:rPr>
        <w:t>₹</w:t>
      </w:r>
      <w:r w:rsidR="005363D6" w:rsidRPr="005363D6">
        <w:rPr>
          <w:rFonts w:ascii="Palatino Linotype" w:eastAsia="Times New Roman" w:hAnsi="Palatino Linotype"/>
          <w:sz w:val="22"/>
          <w:szCs w:val="22"/>
        </w:rPr>
        <w:t xml:space="preserve"> </w:t>
      </w:r>
      <w:r w:rsidR="007272D4" w:rsidRPr="007272D4">
        <w:rPr>
          <w:rFonts w:ascii="Palatino Linotype" w:eastAsia="Times New Roman" w:hAnsi="Palatino Linotype"/>
          <w:sz w:val="22"/>
          <w:szCs w:val="22"/>
        </w:rPr>
        <w:t>4,733</w:t>
      </w:r>
      <w:r w:rsidR="007272D4">
        <w:rPr>
          <w:rFonts w:ascii="Palatino Linotype" w:eastAsia="Times New Roman" w:hAnsi="Palatino Linotype"/>
          <w:sz w:val="22"/>
          <w:szCs w:val="22"/>
        </w:rPr>
        <w:t xml:space="preserve"> </w:t>
      </w:r>
      <w:r w:rsidR="005363D6" w:rsidRPr="005363D6">
        <w:rPr>
          <w:rFonts w:ascii="Palatino Linotype" w:eastAsia="Times New Roman" w:hAnsi="Palatino Linotype"/>
          <w:sz w:val="22"/>
          <w:szCs w:val="22"/>
        </w:rPr>
        <w:t xml:space="preserve">crore </w:t>
      </w:r>
      <w:r w:rsidRPr="009A0EB3">
        <w:rPr>
          <w:rFonts w:ascii="Palatino Linotype" w:eastAsia="Times New Roman" w:hAnsi="Palatino Linotype" w:cs="Garamond"/>
          <w:sz w:val="22"/>
          <w:szCs w:val="22"/>
        </w:rPr>
        <w:t xml:space="preserve">made in </w:t>
      </w:r>
      <w:r w:rsidR="007272D4">
        <w:rPr>
          <w:rFonts w:ascii="Palatino Linotype" w:eastAsia="Times New Roman" w:hAnsi="Palatino Linotype"/>
          <w:sz w:val="22"/>
          <w:szCs w:val="22"/>
        </w:rPr>
        <w:t>August</w:t>
      </w:r>
      <w:r w:rsidRPr="009A0EB3">
        <w:rPr>
          <w:rFonts w:ascii="Palatino Linotype" w:eastAsia="Times New Roman" w:hAnsi="Palatino Linotype"/>
          <w:sz w:val="22"/>
          <w:szCs w:val="22"/>
        </w:rPr>
        <w:t xml:space="preserve"> 2019</w:t>
      </w:r>
      <w:r w:rsidRPr="009A0EB3">
        <w:rPr>
          <w:rFonts w:ascii="Palatino Linotype" w:eastAsia="Times New Roman" w:hAnsi="Palatino Linotype" w:cs="Garamond"/>
          <w:sz w:val="22"/>
          <w:szCs w:val="22"/>
        </w:rPr>
        <w:t xml:space="preserve">. </w:t>
      </w:r>
      <w:r w:rsidR="007272D4">
        <w:rPr>
          <w:rFonts w:ascii="Palatino Linotype" w:eastAsia="Times New Roman" w:hAnsi="Palatino Linotype" w:cs="Garamond"/>
          <w:sz w:val="22"/>
          <w:szCs w:val="22"/>
        </w:rPr>
        <w:t xml:space="preserve">All the </w:t>
      </w:r>
      <w:r w:rsidRPr="009A0EB3">
        <w:rPr>
          <w:rFonts w:ascii="Palatino Linotype" w:eastAsia="Times New Roman" w:hAnsi="Palatino Linotype" w:cs="Garamond"/>
          <w:sz w:val="22"/>
          <w:szCs w:val="22"/>
        </w:rPr>
        <w:t xml:space="preserve">offers were for change in control of management. </w:t>
      </w:r>
    </w:p>
    <w:p w:rsidR="00E34D03" w:rsidRDefault="00E34D03" w:rsidP="0032036A">
      <w:pPr>
        <w:jc w:val="both"/>
        <w:rPr>
          <w:rFonts w:ascii="Palatino Linotype" w:eastAsia="Times New Roman" w:hAnsi="Palatino Linotype" w:cs="Garamond"/>
          <w:sz w:val="22"/>
          <w:szCs w:val="22"/>
        </w:rPr>
      </w:pPr>
    </w:p>
    <w:p w:rsidR="003D1EB4" w:rsidRDefault="003D1EB4" w:rsidP="0032036A">
      <w:pPr>
        <w:jc w:val="both"/>
        <w:rPr>
          <w:rFonts w:ascii="Palatino Linotype" w:eastAsia="Times New Roman" w:hAnsi="Palatino Linotype" w:cs="Garamond"/>
          <w:sz w:val="22"/>
          <w:szCs w:val="22"/>
        </w:rPr>
      </w:pPr>
    </w:p>
    <w:p w:rsidR="003D1EB4" w:rsidRDefault="003D1EB4" w:rsidP="0032036A">
      <w:pPr>
        <w:jc w:val="both"/>
        <w:rPr>
          <w:rFonts w:ascii="Palatino Linotype" w:eastAsia="Times New Roman" w:hAnsi="Palatino Linotype" w:cs="Garamond"/>
          <w:sz w:val="22"/>
          <w:szCs w:val="22"/>
        </w:rPr>
      </w:pPr>
    </w:p>
    <w:p w:rsidR="00E34D03" w:rsidRPr="009A0EB3" w:rsidRDefault="00E34D03" w:rsidP="00E34D03">
      <w:pPr>
        <w:rPr>
          <w:rFonts w:ascii="Palatino Linotype" w:hAnsi="Palatino Linotype"/>
          <w:b/>
          <w:sz w:val="22"/>
          <w:szCs w:val="22"/>
        </w:rPr>
      </w:pPr>
      <w:r w:rsidRPr="009A0EB3">
        <w:rPr>
          <w:rFonts w:ascii="Palatino Linotype" w:hAnsi="Palatino Linotype"/>
          <w:b/>
          <w:sz w:val="22"/>
          <w:szCs w:val="22"/>
        </w:rPr>
        <w:t>Figure</w:t>
      </w:r>
      <w:r w:rsidRPr="009A0EB3">
        <w:rPr>
          <w:rFonts w:ascii="Palatino Linotype" w:eastAsia="Times New Roman" w:hAnsi="Palatino Linotype" w:cs="Garamond"/>
          <w:b/>
          <w:bCs/>
          <w:sz w:val="22"/>
          <w:szCs w:val="22"/>
        </w:rPr>
        <w:t xml:space="preserve"> 12: Details of Open Offers Made under the SEBI (SAST) Regulations</w:t>
      </w:r>
    </w:p>
    <w:p w:rsidR="0032036A" w:rsidRDefault="00227721" w:rsidP="0032036A">
      <w:pPr>
        <w:jc w:val="both"/>
        <w:rPr>
          <w:rFonts w:ascii="Palatino Linotype" w:eastAsia="Times New Roman" w:hAnsi="Palatino Linotype" w:cs="Garamond"/>
          <w:sz w:val="22"/>
          <w:szCs w:val="22"/>
          <w:highlight w:val="yellow"/>
        </w:rPr>
      </w:pPr>
      <w:r>
        <w:rPr>
          <w:noProof/>
          <w:lang w:val="en-US" w:bidi="hi-IN"/>
        </w:rPr>
        <w:drawing>
          <wp:inline distT="0" distB="0" distL="0" distR="0" wp14:anchorId="2CD5D258" wp14:editId="01EC4F24">
            <wp:extent cx="5475264" cy="2388577"/>
            <wp:effectExtent l="0" t="0" r="11430" b="12065"/>
            <wp:docPr id="34" name="Chart 34"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45B3E" w:rsidRDefault="00045B3E" w:rsidP="00045B3E">
      <w:pPr>
        <w:widowControl w:val="0"/>
        <w:ind w:left="720"/>
        <w:contextualSpacing/>
        <w:jc w:val="both"/>
        <w:rPr>
          <w:rFonts w:ascii="Palatino Linotype" w:hAnsi="Palatino Linotype"/>
          <w:b/>
          <w:sz w:val="22"/>
          <w:szCs w:val="22"/>
        </w:rPr>
      </w:pPr>
    </w:p>
    <w:p w:rsidR="00815E00" w:rsidRDefault="00815E00" w:rsidP="009271A2">
      <w:pPr>
        <w:tabs>
          <w:tab w:val="left" w:pos="8160"/>
        </w:tabs>
        <w:jc w:val="both"/>
        <w:rPr>
          <w:rFonts w:ascii="Palatino Linotype" w:hAnsi="Palatino Linotype"/>
          <w:b/>
          <w:sz w:val="22"/>
          <w:szCs w:val="22"/>
        </w:rPr>
      </w:pPr>
    </w:p>
    <w:p w:rsidR="00815E00" w:rsidRPr="0008542F" w:rsidRDefault="00815E00" w:rsidP="00815E00">
      <w:pPr>
        <w:widowControl w:val="0"/>
        <w:numPr>
          <w:ilvl w:val="0"/>
          <w:numId w:val="2"/>
        </w:numPr>
        <w:contextualSpacing/>
        <w:jc w:val="both"/>
        <w:rPr>
          <w:rFonts w:ascii="Palatino Linotype" w:hAnsi="Palatino Linotype"/>
          <w:b/>
          <w:sz w:val="22"/>
          <w:szCs w:val="22"/>
        </w:rPr>
      </w:pPr>
      <w:r w:rsidRPr="0008542F">
        <w:rPr>
          <w:rFonts w:ascii="Palatino Linotype" w:hAnsi="Palatino Linotype"/>
          <w:b/>
          <w:sz w:val="22"/>
          <w:szCs w:val="22"/>
        </w:rPr>
        <w:t>Commodities Derivatives Markets</w:t>
      </w:r>
    </w:p>
    <w:p w:rsidR="00815E00" w:rsidRDefault="00815E00" w:rsidP="00815E00">
      <w:pPr>
        <w:pStyle w:val="ListParagraph"/>
        <w:spacing w:after="0" w:line="240" w:lineRule="auto"/>
        <w:jc w:val="both"/>
        <w:rPr>
          <w:rFonts w:ascii="Garamond" w:eastAsia="Times New Roman" w:hAnsi="Garamond"/>
          <w:b/>
          <w:color w:val="000000"/>
          <w:sz w:val="24"/>
          <w:szCs w:val="24"/>
        </w:rPr>
      </w:pPr>
    </w:p>
    <w:p w:rsidR="00146D0E" w:rsidRDefault="00146D0E" w:rsidP="00146D0E">
      <w:pPr>
        <w:pStyle w:val="ListParagraph"/>
        <w:spacing w:after="0" w:line="240" w:lineRule="auto"/>
        <w:ind w:left="0"/>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146D0E" w:rsidRPr="002F7F08" w:rsidRDefault="00146D0E" w:rsidP="00146D0E">
      <w:pPr>
        <w:pStyle w:val="ListParagraph"/>
        <w:spacing w:after="0" w:line="240" w:lineRule="auto"/>
        <w:ind w:left="0"/>
        <w:jc w:val="both"/>
        <w:rPr>
          <w:rFonts w:ascii="Garamond" w:eastAsia="Times New Roman" w:hAnsi="Garamond"/>
          <w:b/>
          <w:color w:val="000000"/>
          <w:sz w:val="24"/>
          <w:szCs w:val="24"/>
        </w:rPr>
      </w:pPr>
    </w:p>
    <w:p w:rsidR="00146D0E" w:rsidRPr="00146D0E" w:rsidRDefault="00146D0E" w:rsidP="00146D0E">
      <w:pPr>
        <w:pStyle w:val="ListParagraph"/>
        <w:numPr>
          <w:ilvl w:val="0"/>
          <w:numId w:val="26"/>
        </w:numPr>
        <w:spacing w:after="0" w:line="240" w:lineRule="auto"/>
        <w:ind w:left="360"/>
        <w:jc w:val="both"/>
        <w:rPr>
          <w:rFonts w:ascii="Palatino Linotype" w:hAnsi="Palatino Linotype"/>
          <w:sz w:val="22"/>
          <w:szCs w:val="22"/>
        </w:rPr>
      </w:pPr>
      <w:r w:rsidRPr="00146D0E">
        <w:rPr>
          <w:rFonts w:ascii="Palatino Linotype" w:hAnsi="Palatino Linotype"/>
          <w:sz w:val="22"/>
          <w:szCs w:val="22"/>
        </w:rPr>
        <w:t>During September 2019, MCX icomdex composite index, witnessed a fall of 1.8 per cent (M-o-M) driven by decrease in prices of base metals (aluminium, copper and lead), energy (crude oil), bullion (gold and silver) and agri. (cotton, CPO and mentha oil) segments. O</w:t>
      </w:r>
      <w:r w:rsidRPr="00146D0E">
        <w:rPr>
          <w:rFonts w:ascii="Palatino Linotype" w:eastAsia="Times New Roman" w:hAnsi="Palatino Linotype"/>
          <w:color w:val="000000"/>
          <w:sz w:val="22"/>
          <w:szCs w:val="22"/>
        </w:rPr>
        <w:t>n Y-o-Y basis, MCX icomdex composite index decreased by 6.2 per cent, mainly on account of decline in prices of eight out of 13 traded commodities viz. aluminium, copper, crude oil, natural gas, zinc, cotton, CPO and mentha oil over the past year.</w:t>
      </w:r>
    </w:p>
    <w:p w:rsidR="00146D0E" w:rsidRPr="00146D0E" w:rsidRDefault="00146D0E" w:rsidP="00146D0E">
      <w:pPr>
        <w:pStyle w:val="ListParagraph"/>
        <w:numPr>
          <w:ilvl w:val="0"/>
          <w:numId w:val="26"/>
        </w:numPr>
        <w:spacing w:after="0" w:line="240" w:lineRule="auto"/>
        <w:ind w:left="360"/>
        <w:jc w:val="both"/>
        <w:rPr>
          <w:rFonts w:ascii="Palatino Linotype" w:eastAsia="Times New Roman" w:hAnsi="Palatino Linotype"/>
          <w:color w:val="000000"/>
          <w:sz w:val="22"/>
          <w:szCs w:val="22"/>
        </w:rPr>
      </w:pPr>
      <w:r w:rsidRPr="00146D0E">
        <w:rPr>
          <w:rFonts w:ascii="Palatino Linotype" w:hAnsi="Palatino Linotype"/>
          <w:sz w:val="22"/>
          <w:szCs w:val="22"/>
        </w:rPr>
        <w:t xml:space="preserve">During the month, </w:t>
      </w:r>
      <w:r w:rsidRPr="00146D0E">
        <w:rPr>
          <w:rFonts w:ascii="Palatino Linotype" w:eastAsia="Times New Roman" w:hAnsi="Palatino Linotype"/>
          <w:color w:val="000000"/>
          <w:sz w:val="22"/>
          <w:szCs w:val="22"/>
        </w:rPr>
        <w:t xml:space="preserve">MCX icomdex crude oil composite index, decreased by 0.1 per cent on account of decrease in futures price of crude oil by 1.8 per cent. </w:t>
      </w:r>
      <w:r w:rsidR="002E627C">
        <w:rPr>
          <w:rFonts w:ascii="Palatino Linotype" w:eastAsia="Times New Roman" w:hAnsi="Palatino Linotype"/>
          <w:color w:val="000000"/>
          <w:sz w:val="22"/>
          <w:szCs w:val="22"/>
        </w:rPr>
        <w:t xml:space="preserve">Further, </w:t>
      </w:r>
      <w:r w:rsidR="002E627C" w:rsidRPr="00146D0E">
        <w:rPr>
          <w:rFonts w:ascii="Palatino Linotype" w:eastAsia="Times New Roman" w:hAnsi="Palatino Linotype"/>
          <w:color w:val="000000"/>
          <w:sz w:val="22"/>
          <w:szCs w:val="22"/>
        </w:rPr>
        <w:t xml:space="preserve">the </w:t>
      </w:r>
      <w:r w:rsidRPr="00146D0E">
        <w:rPr>
          <w:rFonts w:ascii="Palatino Linotype" w:eastAsia="Times New Roman" w:hAnsi="Palatino Linotype"/>
          <w:color w:val="000000"/>
          <w:sz w:val="22"/>
          <w:szCs w:val="22"/>
        </w:rPr>
        <w:t>downtrend in MCX icomdex base metal index (-1.0 per cent) was due to decrease in futures prices of aluminium (-2.2 per cent), copper (-0.3) per cent and lead (-0.1 per cent), which were partially offset by increase in futures prices of nickel and zinc by 6.4 per cent and 0.4 per cent respectively.</w:t>
      </w:r>
    </w:p>
    <w:p w:rsidR="00146D0E" w:rsidRPr="00146D0E" w:rsidRDefault="00146D0E" w:rsidP="00146D0E">
      <w:pPr>
        <w:pStyle w:val="ListParagraph"/>
        <w:numPr>
          <w:ilvl w:val="0"/>
          <w:numId w:val="26"/>
        </w:numPr>
        <w:spacing w:after="0" w:line="240" w:lineRule="auto"/>
        <w:ind w:left="360"/>
        <w:jc w:val="both"/>
        <w:rPr>
          <w:rFonts w:ascii="Palatino Linotype" w:eastAsia="Times New Roman" w:hAnsi="Palatino Linotype"/>
          <w:color w:val="000000"/>
          <w:sz w:val="22"/>
          <w:szCs w:val="22"/>
        </w:rPr>
      </w:pPr>
      <w:r w:rsidRPr="00146D0E">
        <w:rPr>
          <w:rFonts w:ascii="Palatino Linotype" w:eastAsia="Times New Roman" w:hAnsi="Palatino Linotype"/>
          <w:color w:val="000000"/>
          <w:sz w:val="22"/>
          <w:szCs w:val="22"/>
        </w:rPr>
        <w:t xml:space="preserve">MCX icomdex bullion index decreased by 3.3 per cent as futures prices of both gold and silver decreased by 4.5 per cent and 5.6 per cent respectively, during the month. </w:t>
      </w:r>
    </w:p>
    <w:p w:rsidR="00146D0E" w:rsidRPr="00146D0E" w:rsidRDefault="002E627C" w:rsidP="00146D0E">
      <w:pPr>
        <w:pStyle w:val="ListParagraph"/>
        <w:numPr>
          <w:ilvl w:val="0"/>
          <w:numId w:val="26"/>
        </w:numPr>
        <w:spacing w:after="0" w:line="240" w:lineRule="auto"/>
        <w:ind w:left="360"/>
        <w:jc w:val="both"/>
        <w:rPr>
          <w:rFonts w:ascii="Palatino Linotype" w:eastAsia="Times New Roman" w:hAnsi="Palatino Linotype"/>
          <w:color w:val="000000"/>
          <w:sz w:val="22"/>
          <w:szCs w:val="22"/>
        </w:rPr>
      </w:pPr>
      <w:r>
        <w:rPr>
          <w:rFonts w:ascii="Palatino Linotype" w:eastAsia="Times New Roman" w:hAnsi="Palatino Linotype"/>
          <w:color w:val="000000"/>
          <w:sz w:val="22"/>
          <w:szCs w:val="22"/>
        </w:rPr>
        <w:lastRenderedPageBreak/>
        <w:t xml:space="preserve">At MCX, </w:t>
      </w:r>
      <w:r w:rsidRPr="00146D0E">
        <w:rPr>
          <w:rFonts w:ascii="Palatino Linotype" w:eastAsia="Times New Roman" w:hAnsi="Palatino Linotype"/>
          <w:color w:val="000000"/>
          <w:sz w:val="22"/>
          <w:szCs w:val="22"/>
        </w:rPr>
        <w:t xml:space="preserve">in </w:t>
      </w:r>
      <w:r w:rsidR="00146D0E" w:rsidRPr="00146D0E">
        <w:rPr>
          <w:rFonts w:ascii="Palatino Linotype" w:eastAsia="Times New Roman" w:hAnsi="Palatino Linotype"/>
          <w:color w:val="000000"/>
          <w:sz w:val="22"/>
          <w:szCs w:val="22"/>
        </w:rPr>
        <w:t xml:space="preserve">the agri. segment, futures prices of cotton, CPO and mentha oil decreased by 2.8 per cent, 0.7 per cent and 2.0 per cent respectively, which was partially offset by increase in futures price of cardamom (5.1 per cent). </w:t>
      </w:r>
    </w:p>
    <w:p w:rsidR="00146D0E" w:rsidRPr="00146D0E" w:rsidRDefault="00146D0E" w:rsidP="00146D0E">
      <w:pPr>
        <w:pStyle w:val="ListParagraph"/>
        <w:numPr>
          <w:ilvl w:val="0"/>
          <w:numId w:val="26"/>
        </w:numPr>
        <w:spacing w:after="0" w:line="240" w:lineRule="auto"/>
        <w:ind w:left="360"/>
        <w:jc w:val="both"/>
        <w:rPr>
          <w:rFonts w:ascii="Palatino Linotype" w:eastAsia="Times New Roman" w:hAnsi="Palatino Linotype"/>
          <w:color w:val="000000"/>
          <w:sz w:val="22"/>
          <w:szCs w:val="22"/>
        </w:rPr>
      </w:pPr>
      <w:r w:rsidRPr="00146D0E">
        <w:rPr>
          <w:rFonts w:ascii="Palatino Linotype" w:hAnsi="Palatino Linotype"/>
          <w:sz w:val="22"/>
          <w:szCs w:val="22"/>
        </w:rPr>
        <w:t>NKrishi index decreased by 3.7 per cent (M-o-M) as 5</w:t>
      </w:r>
      <w:r w:rsidRPr="00146D0E">
        <w:rPr>
          <w:rFonts w:ascii="Palatino Linotype" w:eastAsia="Times New Roman" w:hAnsi="Palatino Linotype"/>
          <w:color w:val="000000"/>
          <w:sz w:val="22"/>
          <w:szCs w:val="22"/>
        </w:rPr>
        <w:t xml:space="preserve"> out of 10 constituent commodities (guar seed, turmeric, cottonseed oilcake, coriander and castorseed) witnessed a downtrend in futures prices. On Y-o-Y basis, the NKrishi index registered a gain of 8.2 per cent at the end of September 2019 mainly on account of significant increase in prices of six of its actively traded constituent commodities viz. cottonseed oilcake (28.7 per cent), soybean (20.4 per cent), coriander (15.0 per cent), castorseed (5.6 per cent), chana (4.0 per cent) and wheat (1.8 per cent). </w:t>
      </w:r>
    </w:p>
    <w:p w:rsidR="00815E00" w:rsidRDefault="00815E00" w:rsidP="009271A2">
      <w:pPr>
        <w:tabs>
          <w:tab w:val="left" w:pos="8160"/>
        </w:tabs>
        <w:jc w:val="both"/>
        <w:rPr>
          <w:rFonts w:ascii="Palatino Linotype" w:hAnsi="Palatino Linotype"/>
          <w:b/>
          <w:sz w:val="22"/>
          <w:szCs w:val="22"/>
        </w:rPr>
      </w:pPr>
    </w:p>
    <w:p w:rsidR="00C55787" w:rsidRDefault="00C55787" w:rsidP="00146D0E">
      <w:pPr>
        <w:pStyle w:val="ListParagraph"/>
        <w:spacing w:after="0" w:line="240" w:lineRule="auto"/>
        <w:ind w:left="0"/>
        <w:jc w:val="both"/>
        <w:rPr>
          <w:rFonts w:ascii="Palatino Linotype" w:hAnsi="Palatino Linotype"/>
          <w:b/>
          <w:sz w:val="22"/>
          <w:szCs w:val="22"/>
        </w:rPr>
      </w:pPr>
    </w:p>
    <w:p w:rsidR="00146D0E" w:rsidRDefault="00146D0E" w:rsidP="00146D0E">
      <w:pPr>
        <w:pStyle w:val="ListParagraph"/>
        <w:spacing w:after="0" w:line="480" w:lineRule="auto"/>
        <w:ind w:left="426" w:hanging="142"/>
        <w:jc w:val="center"/>
        <w:rPr>
          <w:noProof/>
          <w:lang w:val="en-IN" w:eastAsia="en-IN"/>
        </w:rPr>
      </w:pPr>
      <w:r w:rsidRPr="00F43134">
        <w:rPr>
          <w:rFonts w:ascii="Garamond" w:eastAsia="Times New Roman" w:hAnsi="Garamond"/>
          <w:b/>
          <w:color w:val="2E74B5" w:themeColor="accent1" w:themeShade="BF"/>
          <w:sz w:val="24"/>
          <w:szCs w:val="24"/>
        </w:rPr>
        <w:t xml:space="preserve">Figure </w:t>
      </w:r>
      <w:r>
        <w:rPr>
          <w:rFonts w:ascii="Garamond" w:eastAsia="Times New Roman" w:hAnsi="Garamond"/>
          <w:b/>
          <w:color w:val="2E74B5" w:themeColor="accent1" w:themeShade="BF"/>
          <w:sz w:val="24"/>
          <w:szCs w:val="24"/>
        </w:rPr>
        <w:t>13</w:t>
      </w:r>
      <w:r w:rsidRPr="00F43134">
        <w:rPr>
          <w:rFonts w:ascii="Garamond" w:eastAsia="Times New Roman" w:hAnsi="Garamond"/>
          <w:b/>
          <w:color w:val="2E74B5" w:themeColor="accent1" w:themeShade="BF"/>
          <w:sz w:val="24"/>
          <w:szCs w:val="24"/>
        </w:rPr>
        <w:t>: Movement of Commodity Derivatives Market Indices</w:t>
      </w:r>
    </w:p>
    <w:p w:rsidR="00146D0E" w:rsidRDefault="00146D0E" w:rsidP="00146D0E">
      <w:pPr>
        <w:pStyle w:val="ListParagraph"/>
        <w:spacing w:after="0" w:line="480" w:lineRule="auto"/>
        <w:ind w:left="426" w:hanging="142"/>
        <w:jc w:val="center"/>
        <w:rPr>
          <w:rFonts w:ascii="Garamond" w:eastAsia="Times New Roman" w:hAnsi="Garamond"/>
          <w:b/>
          <w:color w:val="2E74B5" w:themeColor="accent1" w:themeShade="BF"/>
          <w:sz w:val="24"/>
          <w:szCs w:val="24"/>
        </w:rPr>
      </w:pPr>
      <w:r>
        <w:rPr>
          <w:noProof/>
          <w:lang w:bidi="hi-IN"/>
        </w:rPr>
        <w:drawing>
          <wp:inline distT="0" distB="0" distL="0" distR="0" wp14:anchorId="3C5333A9" wp14:editId="5EF1C0BF">
            <wp:extent cx="5926455" cy="2476500"/>
            <wp:effectExtent l="0" t="0" r="1714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46D0E" w:rsidRPr="00146D0E" w:rsidRDefault="00146D0E" w:rsidP="00146D0E">
      <w:pPr>
        <w:ind w:left="568" w:hanging="568"/>
        <w:rPr>
          <w:rFonts w:ascii="Palatino Linotype" w:hAnsi="Palatino Linotype" w:cs="Arial"/>
          <w:b/>
          <w:bCs/>
          <w:sz w:val="18"/>
          <w:szCs w:val="18"/>
        </w:rPr>
      </w:pPr>
      <w:r w:rsidRPr="0013155D">
        <w:rPr>
          <w:rFonts w:ascii="Garamond" w:hAnsi="Garamond" w:cs="Arial"/>
          <w:b/>
          <w:bCs/>
          <w:sz w:val="20"/>
          <w:szCs w:val="20"/>
        </w:rPr>
        <w:t xml:space="preserve">            </w:t>
      </w:r>
      <w:r w:rsidRPr="00146D0E">
        <w:rPr>
          <w:rFonts w:ascii="Palatino Linotype" w:hAnsi="Palatino Linotype" w:cs="Arial"/>
          <w:b/>
          <w:bCs/>
          <w:sz w:val="18"/>
          <w:szCs w:val="18"/>
        </w:rPr>
        <w:t>Note: MCX icomdex composite index are upto 27</w:t>
      </w:r>
      <w:r w:rsidRPr="00146D0E">
        <w:rPr>
          <w:rFonts w:ascii="Palatino Linotype" w:hAnsi="Palatino Linotype" w:cs="Arial"/>
          <w:b/>
          <w:bCs/>
          <w:sz w:val="18"/>
          <w:szCs w:val="18"/>
          <w:vertAlign w:val="superscript"/>
        </w:rPr>
        <w:t>th</w:t>
      </w:r>
      <w:r w:rsidRPr="00146D0E">
        <w:rPr>
          <w:rFonts w:ascii="Palatino Linotype" w:hAnsi="Palatino Linotype" w:cs="Arial"/>
          <w:b/>
          <w:bCs/>
          <w:sz w:val="18"/>
          <w:szCs w:val="18"/>
        </w:rPr>
        <w:t xml:space="preserve"> Sep 2019 only </w:t>
      </w:r>
      <w:r w:rsidRPr="00146D0E">
        <w:rPr>
          <w:rFonts w:ascii="Palatino Linotype" w:eastAsia="Times New Roman" w:hAnsi="Palatino Linotype"/>
          <w:b/>
          <w:bCs/>
          <w:sz w:val="18"/>
          <w:szCs w:val="18"/>
          <w:lang w:eastAsia="en-IN"/>
        </w:rPr>
        <w:t>as MCX has discontinued dissemination of its co-branded TR icomdex indices since Sep 27, 2019</w:t>
      </w:r>
      <w:r w:rsidRPr="00146D0E">
        <w:rPr>
          <w:rFonts w:ascii="Palatino Linotype" w:eastAsia="Times New Roman" w:hAnsi="Palatino Linotype"/>
          <w:bCs/>
          <w:sz w:val="18"/>
          <w:szCs w:val="18"/>
          <w:lang w:eastAsia="en-IN"/>
        </w:rPr>
        <w:t>.</w:t>
      </w:r>
    </w:p>
    <w:p w:rsidR="00146D0E" w:rsidRDefault="00146D0E" w:rsidP="00146D0E">
      <w:pPr>
        <w:jc w:val="both"/>
        <w:rPr>
          <w:rFonts w:ascii="Palatino Linotype" w:hAnsi="Palatino Linotype" w:cs="Arial"/>
          <w:b/>
          <w:bCs/>
          <w:sz w:val="18"/>
          <w:szCs w:val="18"/>
        </w:rPr>
      </w:pPr>
      <w:r w:rsidRPr="00146D0E">
        <w:rPr>
          <w:rFonts w:ascii="Palatino Linotype" w:hAnsi="Palatino Linotype" w:cs="Arial"/>
          <w:b/>
          <w:bCs/>
          <w:sz w:val="18"/>
          <w:szCs w:val="18"/>
        </w:rPr>
        <w:t xml:space="preserve">          Source: MCX and NCDEX</w:t>
      </w:r>
    </w:p>
    <w:p w:rsidR="00146D0E" w:rsidRPr="00146D0E" w:rsidRDefault="00146D0E" w:rsidP="00146D0E">
      <w:pPr>
        <w:jc w:val="both"/>
        <w:rPr>
          <w:rFonts w:ascii="Palatino Linotype" w:hAnsi="Palatino Linotype" w:cs="Arial"/>
          <w:b/>
          <w:bCs/>
          <w:sz w:val="18"/>
          <w:szCs w:val="18"/>
        </w:rPr>
      </w:pPr>
    </w:p>
    <w:p w:rsidR="00146D0E" w:rsidRPr="00146D0E" w:rsidRDefault="00146D0E" w:rsidP="00146D0E">
      <w:pPr>
        <w:pStyle w:val="ListParagraph"/>
        <w:numPr>
          <w:ilvl w:val="0"/>
          <w:numId w:val="26"/>
        </w:numPr>
        <w:spacing w:after="0" w:line="240" w:lineRule="auto"/>
        <w:ind w:left="360"/>
        <w:jc w:val="both"/>
        <w:rPr>
          <w:rFonts w:ascii="Palatino Linotype" w:eastAsia="Times New Roman" w:hAnsi="Palatino Linotype"/>
          <w:color w:val="000000"/>
          <w:sz w:val="22"/>
          <w:szCs w:val="22"/>
        </w:rPr>
      </w:pPr>
      <w:r w:rsidRPr="00146D0E">
        <w:rPr>
          <w:rFonts w:ascii="Palatino Linotype" w:eastAsia="Times New Roman" w:hAnsi="Palatino Linotype"/>
          <w:color w:val="000000"/>
          <w:sz w:val="22"/>
          <w:szCs w:val="22"/>
        </w:rPr>
        <w:t xml:space="preserve">During September 2019, average daily volatility in MCX icomdex composite and NCDEX NKrishi indices was recorded at 1.0 per cent and 0.6 per cent respectively. The daily volatility and price variation over the previous month for benchmark commodity indices are shown in the Figure 14 below: </w:t>
      </w:r>
    </w:p>
    <w:p w:rsidR="00146D0E" w:rsidRDefault="00146D0E" w:rsidP="00146D0E">
      <w:pPr>
        <w:jc w:val="both"/>
        <w:rPr>
          <w:rFonts w:ascii="Garamond" w:hAnsi="Garamond" w:cs="Arial"/>
          <w:bCs/>
        </w:rPr>
      </w:pPr>
    </w:p>
    <w:p w:rsidR="00146D0E" w:rsidRPr="006F5E9D" w:rsidRDefault="00146D0E" w:rsidP="00146D0E">
      <w:pPr>
        <w:jc w:val="both"/>
        <w:rPr>
          <w:rFonts w:ascii="Garamond" w:hAnsi="Garamond" w:cs="Arial"/>
          <w:bCs/>
        </w:rPr>
      </w:pPr>
    </w:p>
    <w:p w:rsidR="00146D0E" w:rsidRDefault="00146D0E" w:rsidP="00146D0E">
      <w:pPr>
        <w:jc w:val="both"/>
        <w:rPr>
          <w:rFonts w:ascii="Garamond" w:hAnsi="Garamond" w:cs="Arial"/>
          <w:b/>
          <w:bCs/>
          <w:color w:val="2E74B5" w:themeColor="accent1" w:themeShade="BF"/>
        </w:rPr>
      </w:pPr>
      <w:r w:rsidRPr="006F5E9D">
        <w:rPr>
          <w:rFonts w:ascii="Garamond" w:hAnsi="Garamond" w:cs="Arial"/>
          <w:b/>
          <w:bCs/>
          <w:color w:val="2E74B5" w:themeColor="accent1" w:themeShade="BF"/>
        </w:rPr>
        <w:t xml:space="preserve">Figure 14: Variation (point-to-point) and daily volatility of commodity indices in </w:t>
      </w:r>
      <w:r>
        <w:rPr>
          <w:rFonts w:ascii="Garamond" w:hAnsi="Garamond" w:cs="Arial"/>
          <w:b/>
          <w:bCs/>
          <w:color w:val="2E74B5" w:themeColor="accent1" w:themeShade="BF"/>
        </w:rPr>
        <w:t>September</w:t>
      </w:r>
      <w:r w:rsidRPr="006F5E9D">
        <w:rPr>
          <w:rFonts w:ascii="Garamond" w:hAnsi="Garamond" w:cs="Arial"/>
          <w:b/>
          <w:bCs/>
          <w:color w:val="2E74B5" w:themeColor="accent1" w:themeShade="BF"/>
        </w:rPr>
        <w:t xml:space="preserve"> 2019 (per cent)</w:t>
      </w:r>
    </w:p>
    <w:p w:rsidR="00146D0E" w:rsidRDefault="00146D0E" w:rsidP="00146D0E">
      <w:pPr>
        <w:pStyle w:val="ListParagraph"/>
        <w:spacing w:after="0" w:line="240" w:lineRule="auto"/>
        <w:ind w:left="1276" w:hanging="1276"/>
        <w:jc w:val="both"/>
        <w:rPr>
          <w:rFonts w:ascii="Garamond" w:hAnsi="Garamond" w:cs="Arial"/>
          <w:bCs/>
          <w:color w:val="2E74B5" w:themeColor="accent1" w:themeShade="BF"/>
          <w:sz w:val="24"/>
          <w:szCs w:val="24"/>
        </w:rPr>
      </w:pPr>
      <w:r>
        <w:rPr>
          <w:noProof/>
          <w:lang w:bidi="hi-IN"/>
        </w:rPr>
        <w:lastRenderedPageBreak/>
        <w:drawing>
          <wp:inline distT="0" distB="0" distL="0" distR="0" wp14:anchorId="7B7C3DDE" wp14:editId="685E6FB9">
            <wp:extent cx="5926455" cy="2352675"/>
            <wp:effectExtent l="0" t="0" r="1714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46D0E" w:rsidRPr="00146D0E" w:rsidRDefault="00146D0E" w:rsidP="00146D0E">
      <w:pPr>
        <w:spacing w:line="480" w:lineRule="auto"/>
        <w:jc w:val="both"/>
        <w:rPr>
          <w:rFonts w:ascii="Palatino Linotype" w:hAnsi="Palatino Linotype" w:cs="Arial"/>
          <w:bCs/>
          <w:sz w:val="18"/>
          <w:szCs w:val="18"/>
        </w:rPr>
      </w:pPr>
      <w:r w:rsidRPr="00146D0E">
        <w:rPr>
          <w:rFonts w:ascii="Palatino Linotype" w:hAnsi="Palatino Linotype" w:cs="Arial"/>
          <w:b/>
          <w:bCs/>
          <w:sz w:val="18"/>
          <w:szCs w:val="18"/>
        </w:rPr>
        <w:t>Source: MCX and NCDEX</w:t>
      </w:r>
    </w:p>
    <w:p w:rsidR="00146D0E" w:rsidRPr="006F5E9D" w:rsidRDefault="00146D0E" w:rsidP="00146D0E">
      <w:pPr>
        <w:spacing w:line="480" w:lineRule="auto"/>
        <w:rPr>
          <w:rFonts w:ascii="Garamond" w:hAnsi="Garamond" w:cs="Arial"/>
          <w:b/>
          <w:bCs/>
        </w:rPr>
      </w:pPr>
      <w:r w:rsidRPr="006F5E9D">
        <w:rPr>
          <w:rFonts w:ascii="Garamond" w:hAnsi="Garamond" w:cs="Arial"/>
          <w:b/>
          <w:bCs/>
        </w:rPr>
        <w:t>Table 1: Snapshot of Indian Commodity Derivative Markets</w:t>
      </w:r>
    </w:p>
    <w:tbl>
      <w:tblPr>
        <w:tblpPr w:leftFromText="180" w:rightFromText="180" w:vertAnchor="text" w:tblpXSpec="center" w:tblpY="1"/>
        <w:tblOverlap w:val="never"/>
        <w:tblW w:w="8894" w:type="dxa"/>
        <w:jc w:val="center"/>
        <w:tblLook w:val="04A0" w:firstRow="1" w:lastRow="0" w:firstColumn="1" w:lastColumn="0" w:noHBand="0" w:noVBand="1"/>
      </w:tblPr>
      <w:tblGrid>
        <w:gridCol w:w="2635"/>
        <w:gridCol w:w="1565"/>
        <w:gridCol w:w="1137"/>
        <w:gridCol w:w="1137"/>
        <w:gridCol w:w="2420"/>
      </w:tblGrid>
      <w:tr w:rsidR="00146D0E" w:rsidRPr="006F5E9D" w:rsidTr="00146D0E">
        <w:trPr>
          <w:trHeight w:val="562"/>
          <w:jc w:val="center"/>
        </w:trPr>
        <w:tc>
          <w:tcPr>
            <w:tcW w:w="2635" w:type="dxa"/>
            <w:tcBorders>
              <w:top w:val="single" w:sz="4" w:space="0" w:color="auto"/>
              <w:left w:val="single" w:sz="4" w:space="0" w:color="auto"/>
              <w:bottom w:val="single" w:sz="4" w:space="0" w:color="auto"/>
              <w:right w:val="single" w:sz="4" w:space="0" w:color="auto"/>
            </w:tcBorders>
            <w:shd w:val="clear" w:color="auto" w:fill="auto"/>
            <w:noWrap/>
            <w:hideMark/>
          </w:tcPr>
          <w:p w:rsidR="00146D0E" w:rsidRPr="006F5E9D" w:rsidRDefault="00146D0E" w:rsidP="002240ED">
            <w:pPr>
              <w:rPr>
                <w:rFonts w:ascii="Garamond" w:hAnsi="Garamond" w:cs="Arial"/>
                <w:b/>
                <w:bCs/>
              </w:rPr>
            </w:pPr>
            <w:r w:rsidRPr="006F5E9D">
              <w:rPr>
                <w:rFonts w:ascii="Garamond" w:hAnsi="Garamond" w:cs="Arial"/>
                <w:b/>
                <w:bCs/>
              </w:rPr>
              <w:t>Items</w:t>
            </w:r>
          </w:p>
        </w:tc>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rsidR="00146D0E" w:rsidRPr="006F5E9D" w:rsidRDefault="00146D0E" w:rsidP="002240ED">
            <w:pPr>
              <w:rPr>
                <w:rFonts w:ascii="Garamond" w:hAnsi="Garamond" w:cs="Arial"/>
                <w:b/>
                <w:bCs/>
              </w:rPr>
            </w:pPr>
            <w:r w:rsidRPr="006F5E9D">
              <w:rPr>
                <w:rFonts w:ascii="Garamond" w:hAnsi="Garamond" w:cs="Arial"/>
                <w:b/>
                <w:bCs/>
              </w:rPr>
              <w:t>2018-19</w:t>
            </w:r>
          </w:p>
        </w:tc>
        <w:tc>
          <w:tcPr>
            <w:tcW w:w="1137" w:type="dxa"/>
            <w:tcBorders>
              <w:top w:val="single" w:sz="4" w:space="0" w:color="auto"/>
              <w:left w:val="single" w:sz="4" w:space="0" w:color="auto"/>
              <w:right w:val="single" w:sz="4" w:space="0" w:color="auto"/>
            </w:tcBorders>
          </w:tcPr>
          <w:p w:rsidR="00146D0E" w:rsidRPr="006F5E9D" w:rsidRDefault="00146D0E" w:rsidP="002240ED">
            <w:pPr>
              <w:rPr>
                <w:rFonts w:ascii="Garamond" w:hAnsi="Garamond" w:cs="Arial"/>
                <w:b/>
                <w:bCs/>
              </w:rPr>
            </w:pPr>
            <w:r>
              <w:rPr>
                <w:rFonts w:ascii="Garamond" w:hAnsi="Garamond" w:cs="Arial"/>
                <w:b/>
                <w:bCs/>
              </w:rPr>
              <w:t>Aug</w:t>
            </w:r>
            <w:r w:rsidRPr="006F5E9D">
              <w:rPr>
                <w:rFonts w:ascii="Garamond" w:hAnsi="Garamond" w:cs="Arial"/>
                <w:b/>
                <w:bCs/>
              </w:rPr>
              <w:t>-2019</w:t>
            </w:r>
          </w:p>
        </w:tc>
        <w:tc>
          <w:tcPr>
            <w:tcW w:w="1137" w:type="dxa"/>
            <w:tcBorders>
              <w:top w:val="single" w:sz="4" w:space="0" w:color="auto"/>
              <w:left w:val="single" w:sz="4" w:space="0" w:color="auto"/>
              <w:bottom w:val="single" w:sz="4" w:space="0" w:color="auto"/>
              <w:right w:val="single" w:sz="4" w:space="0" w:color="auto"/>
            </w:tcBorders>
            <w:shd w:val="clear" w:color="auto" w:fill="auto"/>
            <w:noWrap/>
            <w:hideMark/>
          </w:tcPr>
          <w:p w:rsidR="00146D0E" w:rsidRPr="006F5E9D" w:rsidRDefault="00146D0E" w:rsidP="002240ED">
            <w:pPr>
              <w:rPr>
                <w:rFonts w:ascii="Garamond" w:hAnsi="Garamond" w:cs="Arial"/>
                <w:b/>
                <w:bCs/>
              </w:rPr>
            </w:pPr>
            <w:r>
              <w:rPr>
                <w:rFonts w:ascii="Garamond" w:hAnsi="Garamond" w:cs="Arial"/>
                <w:b/>
                <w:bCs/>
              </w:rPr>
              <w:t>Sep -</w:t>
            </w:r>
            <w:r w:rsidRPr="006F5E9D">
              <w:rPr>
                <w:rFonts w:ascii="Garamond" w:hAnsi="Garamond" w:cs="Arial"/>
                <w:b/>
                <w:bCs/>
              </w:rPr>
              <w:t>2019</w:t>
            </w:r>
          </w:p>
        </w:tc>
        <w:tc>
          <w:tcPr>
            <w:tcW w:w="2420" w:type="dxa"/>
            <w:tcBorders>
              <w:top w:val="single" w:sz="4" w:space="0" w:color="auto"/>
              <w:left w:val="single" w:sz="4" w:space="0" w:color="auto"/>
              <w:bottom w:val="single" w:sz="4" w:space="0" w:color="000000"/>
              <w:right w:val="single" w:sz="4" w:space="0" w:color="auto"/>
            </w:tcBorders>
            <w:shd w:val="clear" w:color="auto" w:fill="auto"/>
            <w:hideMark/>
          </w:tcPr>
          <w:p w:rsidR="00146D0E" w:rsidRPr="006F5E9D" w:rsidRDefault="00146D0E" w:rsidP="002240ED">
            <w:pPr>
              <w:rPr>
                <w:rFonts w:ascii="Garamond" w:hAnsi="Garamond" w:cs="Arial"/>
                <w:b/>
                <w:bCs/>
              </w:rPr>
            </w:pPr>
            <w:r w:rsidRPr="006F5E9D">
              <w:rPr>
                <w:rFonts w:ascii="Garamond" w:hAnsi="Garamond" w:cs="Arial"/>
                <w:b/>
                <w:bCs/>
              </w:rPr>
              <w:t>Percent</w:t>
            </w:r>
            <w:r>
              <w:rPr>
                <w:rFonts w:ascii="Garamond" w:hAnsi="Garamond" w:cs="Arial"/>
                <w:b/>
                <w:bCs/>
              </w:rPr>
              <w:t>age variation M-o-M</w:t>
            </w:r>
          </w:p>
        </w:tc>
      </w:tr>
      <w:tr w:rsidR="00146D0E" w:rsidRPr="006F5E9D" w:rsidTr="00146D0E">
        <w:trPr>
          <w:trHeight w:val="217"/>
          <w:jc w:val="center"/>
        </w:trPr>
        <w:tc>
          <w:tcPr>
            <w:tcW w:w="8894" w:type="dxa"/>
            <w:gridSpan w:val="5"/>
            <w:tcBorders>
              <w:top w:val="single" w:sz="4" w:space="0" w:color="auto"/>
              <w:left w:val="single" w:sz="4" w:space="0" w:color="auto"/>
              <w:bottom w:val="single" w:sz="4" w:space="0" w:color="auto"/>
              <w:right w:val="single" w:sz="4" w:space="0" w:color="auto"/>
            </w:tcBorders>
          </w:tcPr>
          <w:p w:rsidR="00146D0E" w:rsidRPr="006F5E9D" w:rsidRDefault="00146D0E" w:rsidP="002240ED">
            <w:pPr>
              <w:rPr>
                <w:rFonts w:ascii="Garamond" w:hAnsi="Garamond" w:cs="Arial"/>
                <w:b/>
                <w:bCs/>
              </w:rPr>
            </w:pPr>
            <w:r w:rsidRPr="006F5E9D">
              <w:rPr>
                <w:rFonts w:ascii="Garamond" w:hAnsi="Garamond" w:cs="Arial"/>
                <w:b/>
                <w:bCs/>
              </w:rPr>
              <w:t>A. Indices</w:t>
            </w:r>
          </w:p>
        </w:tc>
      </w:tr>
      <w:tr w:rsidR="00146D0E" w:rsidRPr="006F5E9D" w:rsidTr="00146D0E">
        <w:trPr>
          <w:trHeight w:val="226"/>
          <w:jc w:val="center"/>
        </w:trPr>
        <w:tc>
          <w:tcPr>
            <w:tcW w:w="2635" w:type="dxa"/>
            <w:tcBorders>
              <w:top w:val="nil"/>
              <w:left w:val="single" w:sz="4" w:space="0" w:color="auto"/>
              <w:bottom w:val="single" w:sz="4" w:space="0" w:color="auto"/>
              <w:right w:val="single" w:sz="4" w:space="0" w:color="auto"/>
            </w:tcBorders>
            <w:shd w:val="clear" w:color="auto" w:fill="auto"/>
            <w:noWrap/>
            <w:hideMark/>
          </w:tcPr>
          <w:p w:rsidR="00146D0E" w:rsidRPr="006F5E9D" w:rsidRDefault="00146D0E" w:rsidP="002240ED">
            <w:pPr>
              <w:rPr>
                <w:rFonts w:ascii="Garamond" w:hAnsi="Garamond" w:cs="Arial"/>
                <w:bCs/>
              </w:rPr>
            </w:pPr>
            <w:r w:rsidRPr="006F5E9D">
              <w:rPr>
                <w:rFonts w:ascii="Garamond" w:hAnsi="Garamond" w:cs="Arial"/>
                <w:bCs/>
              </w:rPr>
              <w:t>Nkrishi</w:t>
            </w:r>
          </w:p>
        </w:tc>
        <w:tc>
          <w:tcPr>
            <w:tcW w:w="1565" w:type="dxa"/>
            <w:tcBorders>
              <w:top w:val="nil"/>
              <w:left w:val="nil"/>
              <w:bottom w:val="single" w:sz="4" w:space="0" w:color="auto"/>
              <w:right w:val="single" w:sz="4" w:space="0" w:color="auto"/>
            </w:tcBorders>
            <w:shd w:val="clear" w:color="auto" w:fill="auto"/>
            <w:noWrap/>
            <w:hideMark/>
          </w:tcPr>
          <w:p w:rsidR="00146D0E" w:rsidRPr="006F5E9D" w:rsidRDefault="00146D0E" w:rsidP="002240ED">
            <w:pPr>
              <w:jc w:val="right"/>
              <w:rPr>
                <w:rFonts w:ascii="Garamond" w:hAnsi="Garamond" w:cs="Arial"/>
                <w:bCs/>
              </w:rPr>
            </w:pPr>
            <w:r w:rsidRPr="006F5E9D">
              <w:rPr>
                <w:rFonts w:ascii="Garamond" w:hAnsi="Garamond" w:cs="Arial"/>
                <w:bCs/>
              </w:rPr>
              <w:t> 3</w:t>
            </w:r>
            <w:r>
              <w:rPr>
                <w:rFonts w:ascii="Garamond" w:hAnsi="Garamond" w:cs="Arial"/>
                <w:bCs/>
              </w:rPr>
              <w:t>,</w:t>
            </w:r>
            <w:r w:rsidRPr="006F5E9D">
              <w:rPr>
                <w:rFonts w:ascii="Garamond" w:hAnsi="Garamond" w:cs="Arial"/>
                <w:bCs/>
              </w:rPr>
              <w:t>414</w:t>
            </w:r>
          </w:p>
        </w:tc>
        <w:tc>
          <w:tcPr>
            <w:tcW w:w="1137" w:type="dxa"/>
            <w:tcBorders>
              <w:top w:val="nil"/>
              <w:left w:val="nil"/>
              <w:bottom w:val="single" w:sz="4" w:space="0" w:color="auto"/>
              <w:right w:val="single" w:sz="4" w:space="0" w:color="auto"/>
            </w:tcBorders>
          </w:tcPr>
          <w:p w:rsidR="00146D0E" w:rsidRPr="006F5E9D" w:rsidRDefault="00146D0E" w:rsidP="002240ED">
            <w:pPr>
              <w:jc w:val="right"/>
              <w:rPr>
                <w:rFonts w:ascii="Garamond" w:hAnsi="Garamond" w:cs="Arial"/>
                <w:bCs/>
              </w:rPr>
            </w:pPr>
            <w:r>
              <w:rPr>
                <w:rFonts w:ascii="Garamond" w:hAnsi="Garamond" w:cs="Arial"/>
                <w:bCs/>
              </w:rPr>
              <w:t>3,559</w:t>
            </w:r>
          </w:p>
        </w:tc>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146D0E" w:rsidRPr="006F5E9D" w:rsidRDefault="00146D0E" w:rsidP="002240ED">
            <w:pPr>
              <w:jc w:val="right"/>
              <w:rPr>
                <w:rFonts w:ascii="Garamond" w:hAnsi="Garamond" w:cs="Arial"/>
                <w:bCs/>
              </w:rPr>
            </w:pPr>
            <w:r>
              <w:rPr>
                <w:rFonts w:ascii="Garamond" w:hAnsi="Garamond" w:cs="Arial"/>
                <w:bCs/>
              </w:rPr>
              <w:t>3,429</w:t>
            </w:r>
          </w:p>
        </w:tc>
        <w:tc>
          <w:tcPr>
            <w:tcW w:w="2420" w:type="dxa"/>
            <w:tcBorders>
              <w:top w:val="nil"/>
              <w:left w:val="nil"/>
              <w:bottom w:val="single" w:sz="4" w:space="0" w:color="auto"/>
              <w:right w:val="single" w:sz="4" w:space="0" w:color="auto"/>
            </w:tcBorders>
            <w:shd w:val="clear" w:color="auto" w:fill="auto"/>
            <w:noWrap/>
            <w:hideMark/>
          </w:tcPr>
          <w:p w:rsidR="00146D0E" w:rsidRPr="006F5E9D" w:rsidRDefault="00146D0E" w:rsidP="002240ED">
            <w:pPr>
              <w:jc w:val="center"/>
              <w:rPr>
                <w:rFonts w:ascii="Garamond" w:hAnsi="Garamond" w:cs="Arial"/>
                <w:bCs/>
              </w:rPr>
            </w:pPr>
            <w:r>
              <w:rPr>
                <w:rFonts w:ascii="Garamond" w:hAnsi="Garamond" w:cs="Arial"/>
                <w:bCs/>
              </w:rPr>
              <w:t>-1.8</w:t>
            </w:r>
          </w:p>
        </w:tc>
      </w:tr>
      <w:tr w:rsidR="00146D0E" w:rsidRPr="006F5E9D" w:rsidTr="00146D0E">
        <w:trPr>
          <w:trHeight w:val="226"/>
          <w:jc w:val="center"/>
        </w:trPr>
        <w:tc>
          <w:tcPr>
            <w:tcW w:w="2635" w:type="dxa"/>
            <w:tcBorders>
              <w:top w:val="nil"/>
              <w:left w:val="single" w:sz="4" w:space="0" w:color="auto"/>
              <w:bottom w:val="single" w:sz="4" w:space="0" w:color="auto"/>
              <w:right w:val="single" w:sz="4" w:space="0" w:color="auto"/>
            </w:tcBorders>
            <w:shd w:val="clear" w:color="auto" w:fill="auto"/>
            <w:noWrap/>
          </w:tcPr>
          <w:p w:rsidR="00146D0E" w:rsidRPr="006F5E9D" w:rsidRDefault="00146D0E" w:rsidP="002240ED">
            <w:pPr>
              <w:rPr>
                <w:rFonts w:ascii="Garamond" w:hAnsi="Garamond" w:cs="Arial"/>
                <w:bCs/>
              </w:rPr>
            </w:pPr>
            <w:r w:rsidRPr="006F5E9D">
              <w:rPr>
                <w:rFonts w:ascii="Garamond" w:hAnsi="Garamond" w:cs="Arial"/>
                <w:bCs/>
              </w:rPr>
              <w:t>MCX iCOMDEX</w:t>
            </w:r>
          </w:p>
        </w:tc>
        <w:tc>
          <w:tcPr>
            <w:tcW w:w="1565" w:type="dxa"/>
            <w:tcBorders>
              <w:top w:val="nil"/>
              <w:left w:val="nil"/>
              <w:bottom w:val="single" w:sz="4" w:space="0" w:color="auto"/>
              <w:right w:val="single" w:sz="4" w:space="0" w:color="auto"/>
            </w:tcBorders>
            <w:shd w:val="clear" w:color="auto" w:fill="auto"/>
            <w:noWrap/>
          </w:tcPr>
          <w:p w:rsidR="00146D0E" w:rsidRPr="006F5E9D" w:rsidRDefault="00146D0E" w:rsidP="002240ED">
            <w:pPr>
              <w:jc w:val="right"/>
              <w:rPr>
                <w:rFonts w:ascii="Garamond" w:hAnsi="Garamond" w:cs="Arial"/>
                <w:bCs/>
              </w:rPr>
            </w:pPr>
            <w:r w:rsidRPr="006F5E9D">
              <w:rPr>
                <w:rFonts w:ascii="Garamond" w:hAnsi="Garamond" w:cs="Arial"/>
                <w:bCs/>
              </w:rPr>
              <w:t>600</w:t>
            </w:r>
          </w:p>
        </w:tc>
        <w:tc>
          <w:tcPr>
            <w:tcW w:w="1137" w:type="dxa"/>
            <w:tcBorders>
              <w:top w:val="nil"/>
              <w:left w:val="nil"/>
              <w:bottom w:val="single" w:sz="4" w:space="0" w:color="auto"/>
              <w:right w:val="single" w:sz="4" w:space="0" w:color="auto"/>
            </w:tcBorders>
          </w:tcPr>
          <w:p w:rsidR="00146D0E" w:rsidRPr="006F5E9D" w:rsidRDefault="00146D0E" w:rsidP="002240ED">
            <w:pPr>
              <w:jc w:val="right"/>
              <w:rPr>
                <w:rFonts w:ascii="Garamond" w:hAnsi="Garamond" w:cs="Arial"/>
                <w:bCs/>
              </w:rPr>
            </w:pPr>
            <w:r>
              <w:rPr>
                <w:rFonts w:ascii="Garamond" w:hAnsi="Garamond" w:cs="Arial"/>
                <w:bCs/>
              </w:rPr>
              <w:t>610</w:t>
            </w:r>
          </w:p>
        </w:tc>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146D0E" w:rsidRPr="006F5E9D" w:rsidRDefault="00146D0E" w:rsidP="002240ED">
            <w:pPr>
              <w:jc w:val="right"/>
              <w:rPr>
                <w:rFonts w:ascii="Garamond" w:hAnsi="Garamond" w:cs="Arial"/>
                <w:bCs/>
              </w:rPr>
            </w:pPr>
            <w:r>
              <w:rPr>
                <w:rFonts w:ascii="Garamond" w:hAnsi="Garamond" w:cs="Arial"/>
                <w:bCs/>
              </w:rPr>
              <w:t>599*</w:t>
            </w:r>
          </w:p>
        </w:tc>
        <w:tc>
          <w:tcPr>
            <w:tcW w:w="2420" w:type="dxa"/>
            <w:tcBorders>
              <w:top w:val="nil"/>
              <w:left w:val="nil"/>
              <w:bottom w:val="single" w:sz="4" w:space="0" w:color="auto"/>
              <w:right w:val="single" w:sz="4" w:space="0" w:color="auto"/>
            </w:tcBorders>
            <w:shd w:val="clear" w:color="auto" w:fill="auto"/>
            <w:noWrap/>
          </w:tcPr>
          <w:p w:rsidR="00146D0E" w:rsidRPr="006F5E9D" w:rsidRDefault="00146D0E" w:rsidP="002240ED">
            <w:pPr>
              <w:jc w:val="center"/>
              <w:rPr>
                <w:rFonts w:ascii="Garamond" w:hAnsi="Garamond" w:cs="Arial"/>
                <w:bCs/>
              </w:rPr>
            </w:pPr>
            <w:r>
              <w:rPr>
                <w:rFonts w:ascii="Garamond" w:hAnsi="Garamond" w:cs="Arial"/>
                <w:bCs/>
              </w:rPr>
              <w:t>- 3.7</w:t>
            </w:r>
          </w:p>
        </w:tc>
      </w:tr>
      <w:tr w:rsidR="00146D0E" w:rsidRPr="006F5E9D" w:rsidTr="00146D0E">
        <w:trPr>
          <w:trHeight w:val="236"/>
          <w:jc w:val="center"/>
        </w:trPr>
        <w:tc>
          <w:tcPr>
            <w:tcW w:w="8894" w:type="dxa"/>
            <w:gridSpan w:val="5"/>
            <w:tcBorders>
              <w:top w:val="single" w:sz="4" w:space="0" w:color="auto"/>
              <w:left w:val="single" w:sz="4" w:space="0" w:color="auto"/>
              <w:bottom w:val="single" w:sz="4" w:space="0" w:color="auto"/>
              <w:right w:val="single" w:sz="4" w:space="0" w:color="auto"/>
            </w:tcBorders>
          </w:tcPr>
          <w:p w:rsidR="00146D0E" w:rsidRPr="006F5E9D" w:rsidRDefault="00146D0E" w:rsidP="002240ED">
            <w:pPr>
              <w:rPr>
                <w:rFonts w:ascii="Garamond" w:hAnsi="Garamond" w:cs="Arial"/>
                <w:b/>
                <w:bCs/>
              </w:rPr>
            </w:pPr>
            <w:r w:rsidRPr="006F5E9D">
              <w:rPr>
                <w:rFonts w:ascii="Garamond" w:hAnsi="Garamond" w:cs="Arial"/>
                <w:b/>
                <w:bCs/>
              </w:rPr>
              <w:t>B. Total Turnover (in Rs. crore)</w:t>
            </w:r>
          </w:p>
        </w:tc>
      </w:tr>
      <w:tr w:rsidR="00146D0E" w:rsidRPr="006F5E9D" w:rsidTr="00146D0E">
        <w:trPr>
          <w:trHeight w:val="310"/>
          <w:jc w:val="center"/>
        </w:trPr>
        <w:tc>
          <w:tcPr>
            <w:tcW w:w="2635" w:type="dxa"/>
            <w:tcBorders>
              <w:top w:val="nil"/>
              <w:left w:val="single" w:sz="4" w:space="0" w:color="auto"/>
              <w:bottom w:val="single" w:sz="4" w:space="0" w:color="auto"/>
              <w:right w:val="nil"/>
            </w:tcBorders>
            <w:shd w:val="clear" w:color="auto" w:fill="auto"/>
            <w:noWrap/>
            <w:hideMark/>
          </w:tcPr>
          <w:p w:rsidR="00146D0E" w:rsidRPr="006F5E9D" w:rsidRDefault="00146D0E" w:rsidP="002240ED">
            <w:pPr>
              <w:rPr>
                <w:rFonts w:ascii="Garamond" w:hAnsi="Garamond" w:cs="Arial"/>
                <w:b/>
                <w:bCs/>
              </w:rPr>
            </w:pPr>
            <w:r w:rsidRPr="006F5E9D">
              <w:rPr>
                <w:rFonts w:ascii="Garamond" w:hAnsi="Garamond" w:cs="Arial"/>
                <w:b/>
                <w:bCs/>
              </w:rPr>
              <w:t>All-India</w:t>
            </w:r>
          </w:p>
        </w:tc>
        <w:tc>
          <w:tcPr>
            <w:tcW w:w="1565" w:type="dxa"/>
            <w:tcBorders>
              <w:top w:val="nil"/>
              <w:left w:val="single" w:sz="4" w:space="0" w:color="auto"/>
              <w:bottom w:val="single" w:sz="4" w:space="0" w:color="auto"/>
              <w:right w:val="single" w:sz="4" w:space="0" w:color="auto"/>
            </w:tcBorders>
            <w:shd w:val="clear" w:color="auto" w:fill="auto"/>
            <w:noWrap/>
            <w:hideMark/>
          </w:tcPr>
          <w:p w:rsidR="00146D0E" w:rsidRPr="006F5E9D" w:rsidRDefault="00146D0E" w:rsidP="002240ED">
            <w:pPr>
              <w:jc w:val="right"/>
              <w:rPr>
                <w:rFonts w:ascii="Garamond" w:hAnsi="Garamond" w:cs="Arial"/>
                <w:b/>
                <w:bCs/>
              </w:rPr>
            </w:pPr>
            <w:r w:rsidRPr="006F5E9D">
              <w:rPr>
                <w:rFonts w:ascii="Garamond" w:hAnsi="Garamond" w:cs="Arial"/>
                <w:b/>
                <w:bCs/>
              </w:rPr>
              <w:t>73,77,944</w:t>
            </w:r>
          </w:p>
        </w:tc>
        <w:tc>
          <w:tcPr>
            <w:tcW w:w="1137" w:type="dxa"/>
            <w:tcBorders>
              <w:top w:val="nil"/>
              <w:left w:val="nil"/>
              <w:bottom w:val="single" w:sz="4" w:space="0" w:color="auto"/>
              <w:right w:val="single" w:sz="4" w:space="0" w:color="auto"/>
            </w:tcBorders>
          </w:tcPr>
          <w:p w:rsidR="00146D0E" w:rsidRPr="006F5E9D" w:rsidRDefault="00146D0E" w:rsidP="002240ED">
            <w:pPr>
              <w:jc w:val="right"/>
              <w:rPr>
                <w:rFonts w:ascii="Garamond" w:hAnsi="Garamond" w:cs="Arial"/>
                <w:b/>
                <w:bCs/>
              </w:rPr>
            </w:pPr>
            <w:r>
              <w:rPr>
                <w:rFonts w:ascii="Garamond" w:hAnsi="Garamond" w:cs="Arial"/>
                <w:b/>
                <w:bCs/>
              </w:rPr>
              <w:t>8,05,020</w:t>
            </w:r>
          </w:p>
        </w:tc>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146D0E" w:rsidRPr="006F5E9D" w:rsidRDefault="00146D0E" w:rsidP="002240ED">
            <w:pPr>
              <w:jc w:val="right"/>
              <w:rPr>
                <w:rFonts w:ascii="Garamond" w:hAnsi="Garamond" w:cs="Arial"/>
                <w:b/>
                <w:bCs/>
              </w:rPr>
            </w:pPr>
            <w:r>
              <w:rPr>
                <w:rFonts w:ascii="Garamond" w:hAnsi="Garamond" w:cs="Arial"/>
                <w:b/>
                <w:bCs/>
              </w:rPr>
              <w:t>8,59,269</w:t>
            </w:r>
          </w:p>
        </w:tc>
        <w:tc>
          <w:tcPr>
            <w:tcW w:w="2420" w:type="dxa"/>
            <w:tcBorders>
              <w:top w:val="nil"/>
              <w:left w:val="nil"/>
              <w:bottom w:val="single" w:sz="4" w:space="0" w:color="auto"/>
              <w:right w:val="single" w:sz="4" w:space="0" w:color="auto"/>
            </w:tcBorders>
            <w:shd w:val="clear" w:color="auto" w:fill="auto"/>
            <w:noWrap/>
          </w:tcPr>
          <w:p w:rsidR="00146D0E" w:rsidRPr="006F5E9D" w:rsidRDefault="00146D0E" w:rsidP="002240ED">
            <w:pPr>
              <w:jc w:val="center"/>
              <w:rPr>
                <w:rFonts w:ascii="Garamond" w:hAnsi="Garamond" w:cs="Arial"/>
                <w:b/>
                <w:bCs/>
              </w:rPr>
            </w:pPr>
            <w:r>
              <w:rPr>
                <w:rFonts w:ascii="Garamond" w:hAnsi="Garamond" w:cs="Arial"/>
                <w:b/>
                <w:bCs/>
              </w:rPr>
              <w:t>6.7</w:t>
            </w:r>
          </w:p>
        </w:tc>
      </w:tr>
      <w:tr w:rsidR="00146D0E" w:rsidRPr="006F5E9D" w:rsidTr="00146D0E">
        <w:trPr>
          <w:trHeight w:val="310"/>
          <w:jc w:val="center"/>
        </w:trPr>
        <w:tc>
          <w:tcPr>
            <w:tcW w:w="2635" w:type="dxa"/>
            <w:tcBorders>
              <w:top w:val="nil"/>
              <w:left w:val="single" w:sz="4" w:space="0" w:color="auto"/>
              <w:bottom w:val="single" w:sz="4" w:space="0" w:color="auto"/>
              <w:right w:val="nil"/>
            </w:tcBorders>
            <w:shd w:val="clear" w:color="auto" w:fill="auto"/>
            <w:noWrap/>
          </w:tcPr>
          <w:p w:rsidR="00146D0E" w:rsidRPr="00A0675C" w:rsidRDefault="00146D0E" w:rsidP="002240ED">
            <w:pPr>
              <w:rPr>
                <w:rFonts w:ascii="Garamond" w:hAnsi="Garamond" w:cs="Arial"/>
                <w:b/>
                <w:bCs/>
              </w:rPr>
            </w:pPr>
            <w:r w:rsidRPr="00A0675C">
              <w:rPr>
                <w:rFonts w:ascii="Garamond" w:hAnsi="Garamond" w:cs="Arial"/>
                <w:b/>
                <w:bCs/>
              </w:rPr>
              <w:t>MCX, of which</w:t>
            </w:r>
          </w:p>
        </w:tc>
        <w:tc>
          <w:tcPr>
            <w:tcW w:w="1565" w:type="dxa"/>
            <w:tcBorders>
              <w:top w:val="nil"/>
              <w:left w:val="single" w:sz="4" w:space="0" w:color="auto"/>
              <w:bottom w:val="single" w:sz="4" w:space="0" w:color="auto"/>
              <w:right w:val="single" w:sz="4" w:space="0" w:color="auto"/>
            </w:tcBorders>
            <w:shd w:val="clear" w:color="auto" w:fill="auto"/>
            <w:noWrap/>
          </w:tcPr>
          <w:p w:rsidR="00146D0E" w:rsidRPr="00A0675C" w:rsidRDefault="00146D0E" w:rsidP="002240ED">
            <w:pPr>
              <w:jc w:val="right"/>
              <w:rPr>
                <w:rFonts w:ascii="Garamond" w:hAnsi="Garamond" w:cs="Arial"/>
                <w:b/>
                <w:bCs/>
              </w:rPr>
            </w:pPr>
            <w:r w:rsidRPr="00A0675C">
              <w:rPr>
                <w:rFonts w:ascii="Garamond" w:hAnsi="Garamond" w:cs="Arial"/>
                <w:b/>
                <w:bCs/>
              </w:rPr>
              <w:t>67,72,372</w:t>
            </w:r>
          </w:p>
        </w:tc>
        <w:tc>
          <w:tcPr>
            <w:tcW w:w="1137" w:type="dxa"/>
            <w:tcBorders>
              <w:top w:val="nil"/>
              <w:left w:val="nil"/>
              <w:bottom w:val="single" w:sz="4" w:space="0" w:color="auto"/>
              <w:right w:val="single" w:sz="4" w:space="0" w:color="auto"/>
            </w:tcBorders>
          </w:tcPr>
          <w:p w:rsidR="00146D0E" w:rsidRPr="00A0675C" w:rsidRDefault="00146D0E" w:rsidP="002240ED">
            <w:pPr>
              <w:jc w:val="right"/>
              <w:rPr>
                <w:rFonts w:ascii="Garamond" w:hAnsi="Garamond" w:cs="Arial"/>
                <w:b/>
                <w:bCs/>
              </w:rPr>
            </w:pPr>
            <w:r w:rsidRPr="00A0675C">
              <w:rPr>
                <w:rFonts w:ascii="Garamond" w:hAnsi="Garamond" w:cs="Arial"/>
                <w:b/>
                <w:bCs/>
              </w:rPr>
              <w:t>7,57,572</w:t>
            </w:r>
          </w:p>
        </w:tc>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146D0E" w:rsidRPr="00A0675C" w:rsidRDefault="00146D0E" w:rsidP="002240ED">
            <w:pPr>
              <w:jc w:val="right"/>
              <w:rPr>
                <w:rFonts w:ascii="Garamond" w:hAnsi="Garamond" w:cs="Arial"/>
                <w:b/>
                <w:bCs/>
              </w:rPr>
            </w:pPr>
            <w:r>
              <w:rPr>
                <w:rFonts w:ascii="Garamond" w:hAnsi="Garamond" w:cs="Arial"/>
                <w:b/>
                <w:bCs/>
              </w:rPr>
              <w:t>8,17,553</w:t>
            </w:r>
          </w:p>
        </w:tc>
        <w:tc>
          <w:tcPr>
            <w:tcW w:w="2420" w:type="dxa"/>
            <w:tcBorders>
              <w:top w:val="nil"/>
              <w:left w:val="nil"/>
              <w:bottom w:val="single" w:sz="4" w:space="0" w:color="auto"/>
              <w:right w:val="single" w:sz="4" w:space="0" w:color="auto"/>
            </w:tcBorders>
            <w:shd w:val="clear" w:color="auto" w:fill="auto"/>
            <w:noWrap/>
          </w:tcPr>
          <w:p w:rsidR="00146D0E" w:rsidRPr="00A0675C" w:rsidRDefault="00146D0E" w:rsidP="002240ED">
            <w:pPr>
              <w:jc w:val="center"/>
              <w:rPr>
                <w:rFonts w:ascii="Garamond" w:hAnsi="Garamond" w:cs="Arial"/>
                <w:b/>
                <w:bCs/>
              </w:rPr>
            </w:pPr>
            <w:r>
              <w:rPr>
                <w:rFonts w:ascii="Garamond" w:hAnsi="Garamond" w:cs="Arial"/>
                <w:b/>
                <w:bCs/>
              </w:rPr>
              <w:t>7.9</w:t>
            </w:r>
          </w:p>
        </w:tc>
      </w:tr>
      <w:tr w:rsidR="00146D0E" w:rsidRPr="006F5E9D" w:rsidTr="00146D0E">
        <w:trPr>
          <w:trHeight w:val="310"/>
          <w:jc w:val="center"/>
        </w:trPr>
        <w:tc>
          <w:tcPr>
            <w:tcW w:w="2635" w:type="dxa"/>
            <w:tcBorders>
              <w:top w:val="nil"/>
              <w:left w:val="single" w:sz="4" w:space="0" w:color="auto"/>
              <w:bottom w:val="single" w:sz="4" w:space="0" w:color="auto"/>
              <w:right w:val="nil"/>
            </w:tcBorders>
            <w:shd w:val="clear" w:color="auto" w:fill="auto"/>
            <w:noWrap/>
          </w:tcPr>
          <w:p w:rsidR="00146D0E" w:rsidRPr="006F5E9D" w:rsidRDefault="00146D0E" w:rsidP="002240ED">
            <w:pPr>
              <w:rPr>
                <w:rFonts w:ascii="Garamond" w:hAnsi="Garamond" w:cs="Arial"/>
                <w:bCs/>
                <w:i/>
              </w:rPr>
            </w:pPr>
            <w:r w:rsidRPr="006F5E9D">
              <w:rPr>
                <w:rFonts w:ascii="Garamond" w:hAnsi="Garamond" w:cs="Arial"/>
                <w:bCs/>
                <w:i/>
              </w:rPr>
              <w:t xml:space="preserve">             Futures</w:t>
            </w:r>
          </w:p>
        </w:tc>
        <w:tc>
          <w:tcPr>
            <w:tcW w:w="1565" w:type="dxa"/>
            <w:tcBorders>
              <w:top w:val="nil"/>
              <w:left w:val="single" w:sz="4" w:space="0" w:color="auto"/>
              <w:bottom w:val="single" w:sz="4" w:space="0" w:color="auto"/>
              <w:right w:val="single" w:sz="4" w:space="0" w:color="auto"/>
            </w:tcBorders>
            <w:shd w:val="clear" w:color="auto" w:fill="auto"/>
            <w:noWrap/>
          </w:tcPr>
          <w:p w:rsidR="00146D0E" w:rsidRPr="001A6F9C" w:rsidRDefault="00146D0E" w:rsidP="002240ED">
            <w:pPr>
              <w:jc w:val="right"/>
              <w:rPr>
                <w:rFonts w:ascii="Garamond" w:hAnsi="Garamond" w:cs="Arial"/>
                <w:bCs/>
              </w:rPr>
            </w:pPr>
            <w:r w:rsidRPr="001A6F9C">
              <w:rPr>
                <w:rFonts w:ascii="Garamond" w:hAnsi="Garamond" w:cs="Arial"/>
                <w:bCs/>
              </w:rPr>
              <w:t>65,91,428</w:t>
            </w:r>
          </w:p>
        </w:tc>
        <w:tc>
          <w:tcPr>
            <w:tcW w:w="1137" w:type="dxa"/>
            <w:tcBorders>
              <w:top w:val="nil"/>
              <w:left w:val="nil"/>
              <w:bottom w:val="single" w:sz="4" w:space="0" w:color="auto"/>
              <w:right w:val="single" w:sz="4" w:space="0" w:color="auto"/>
            </w:tcBorders>
          </w:tcPr>
          <w:p w:rsidR="00146D0E" w:rsidRPr="001A6F9C" w:rsidRDefault="00146D0E" w:rsidP="002240ED">
            <w:pPr>
              <w:jc w:val="right"/>
              <w:rPr>
                <w:rFonts w:ascii="Garamond" w:hAnsi="Garamond" w:cs="Arial"/>
                <w:bCs/>
              </w:rPr>
            </w:pPr>
            <w:r>
              <w:rPr>
                <w:rFonts w:ascii="Garamond" w:hAnsi="Garamond" w:cs="Arial"/>
                <w:bCs/>
              </w:rPr>
              <w:t>7,34,243</w:t>
            </w:r>
          </w:p>
        </w:tc>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146D0E" w:rsidRPr="001A6F9C" w:rsidRDefault="00146D0E" w:rsidP="002240ED">
            <w:pPr>
              <w:jc w:val="right"/>
              <w:rPr>
                <w:rFonts w:ascii="Garamond" w:hAnsi="Garamond" w:cs="Arial"/>
                <w:bCs/>
              </w:rPr>
            </w:pPr>
            <w:r>
              <w:rPr>
                <w:rFonts w:ascii="Garamond" w:hAnsi="Garamond" w:cs="Arial"/>
                <w:bCs/>
              </w:rPr>
              <w:t>7,86,095</w:t>
            </w:r>
          </w:p>
        </w:tc>
        <w:tc>
          <w:tcPr>
            <w:tcW w:w="2420" w:type="dxa"/>
            <w:tcBorders>
              <w:top w:val="nil"/>
              <w:left w:val="nil"/>
              <w:bottom w:val="single" w:sz="4" w:space="0" w:color="auto"/>
              <w:right w:val="single" w:sz="4" w:space="0" w:color="auto"/>
            </w:tcBorders>
            <w:shd w:val="clear" w:color="auto" w:fill="auto"/>
            <w:noWrap/>
          </w:tcPr>
          <w:p w:rsidR="00146D0E" w:rsidRPr="001A6F9C" w:rsidRDefault="00146D0E" w:rsidP="002240ED">
            <w:pPr>
              <w:jc w:val="center"/>
              <w:rPr>
                <w:rFonts w:ascii="Garamond" w:hAnsi="Garamond" w:cs="Arial"/>
                <w:bCs/>
              </w:rPr>
            </w:pPr>
            <w:r>
              <w:rPr>
                <w:rFonts w:ascii="Garamond" w:hAnsi="Garamond" w:cs="Arial"/>
                <w:bCs/>
              </w:rPr>
              <w:t>7.1</w:t>
            </w:r>
          </w:p>
        </w:tc>
      </w:tr>
      <w:tr w:rsidR="00146D0E" w:rsidRPr="006F5E9D" w:rsidTr="00146D0E">
        <w:trPr>
          <w:trHeight w:val="310"/>
          <w:jc w:val="center"/>
        </w:trPr>
        <w:tc>
          <w:tcPr>
            <w:tcW w:w="2635" w:type="dxa"/>
            <w:tcBorders>
              <w:top w:val="nil"/>
              <w:left w:val="single" w:sz="4" w:space="0" w:color="auto"/>
              <w:bottom w:val="single" w:sz="4" w:space="0" w:color="auto"/>
              <w:right w:val="nil"/>
            </w:tcBorders>
            <w:shd w:val="clear" w:color="auto" w:fill="auto"/>
            <w:noWrap/>
          </w:tcPr>
          <w:p w:rsidR="00146D0E" w:rsidRPr="006F5E9D" w:rsidRDefault="00146D0E" w:rsidP="002240ED">
            <w:pPr>
              <w:rPr>
                <w:rFonts w:ascii="Garamond" w:hAnsi="Garamond" w:cs="Arial"/>
                <w:bCs/>
                <w:i/>
              </w:rPr>
            </w:pPr>
            <w:r w:rsidRPr="006F5E9D">
              <w:rPr>
                <w:rFonts w:ascii="Garamond" w:hAnsi="Garamond" w:cs="Arial"/>
                <w:bCs/>
                <w:i/>
              </w:rPr>
              <w:t xml:space="preserve">            Options</w:t>
            </w:r>
          </w:p>
        </w:tc>
        <w:tc>
          <w:tcPr>
            <w:tcW w:w="1565" w:type="dxa"/>
            <w:tcBorders>
              <w:top w:val="nil"/>
              <w:left w:val="single" w:sz="4" w:space="0" w:color="auto"/>
              <w:bottom w:val="single" w:sz="4" w:space="0" w:color="auto"/>
              <w:right w:val="single" w:sz="4" w:space="0" w:color="auto"/>
            </w:tcBorders>
            <w:shd w:val="clear" w:color="auto" w:fill="auto"/>
            <w:noWrap/>
          </w:tcPr>
          <w:p w:rsidR="00146D0E" w:rsidRPr="001A6F9C" w:rsidRDefault="00146D0E" w:rsidP="002240ED">
            <w:pPr>
              <w:jc w:val="right"/>
              <w:rPr>
                <w:rFonts w:ascii="Garamond" w:hAnsi="Garamond" w:cs="Arial"/>
                <w:bCs/>
              </w:rPr>
            </w:pPr>
            <w:r w:rsidRPr="001A6F9C">
              <w:rPr>
                <w:rFonts w:ascii="Garamond" w:hAnsi="Garamond" w:cs="Arial"/>
                <w:bCs/>
              </w:rPr>
              <w:t xml:space="preserve">  1,80,944 </w:t>
            </w:r>
          </w:p>
        </w:tc>
        <w:tc>
          <w:tcPr>
            <w:tcW w:w="1137" w:type="dxa"/>
            <w:tcBorders>
              <w:top w:val="nil"/>
              <w:left w:val="nil"/>
              <w:bottom w:val="single" w:sz="4" w:space="0" w:color="auto"/>
              <w:right w:val="single" w:sz="4" w:space="0" w:color="auto"/>
            </w:tcBorders>
          </w:tcPr>
          <w:p w:rsidR="00146D0E" w:rsidRPr="001A6F9C" w:rsidRDefault="00146D0E" w:rsidP="002240ED">
            <w:pPr>
              <w:jc w:val="right"/>
              <w:rPr>
                <w:rFonts w:ascii="Garamond" w:hAnsi="Garamond" w:cs="Arial"/>
                <w:bCs/>
              </w:rPr>
            </w:pPr>
            <w:r>
              <w:rPr>
                <w:rFonts w:ascii="Garamond" w:hAnsi="Garamond" w:cs="Arial"/>
                <w:bCs/>
              </w:rPr>
              <w:t>23,330</w:t>
            </w:r>
          </w:p>
        </w:tc>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146D0E" w:rsidRPr="001A6F9C" w:rsidRDefault="00146D0E" w:rsidP="002240ED">
            <w:pPr>
              <w:jc w:val="right"/>
              <w:rPr>
                <w:rFonts w:ascii="Garamond" w:hAnsi="Garamond" w:cs="Arial"/>
                <w:bCs/>
              </w:rPr>
            </w:pPr>
            <w:r>
              <w:rPr>
                <w:rFonts w:ascii="Garamond" w:hAnsi="Garamond" w:cs="Arial"/>
                <w:bCs/>
              </w:rPr>
              <w:t>31,458</w:t>
            </w:r>
          </w:p>
        </w:tc>
        <w:tc>
          <w:tcPr>
            <w:tcW w:w="2420" w:type="dxa"/>
            <w:tcBorders>
              <w:top w:val="nil"/>
              <w:left w:val="nil"/>
              <w:bottom w:val="single" w:sz="4" w:space="0" w:color="auto"/>
              <w:right w:val="single" w:sz="4" w:space="0" w:color="auto"/>
            </w:tcBorders>
            <w:shd w:val="clear" w:color="auto" w:fill="auto"/>
            <w:noWrap/>
          </w:tcPr>
          <w:p w:rsidR="00146D0E" w:rsidRPr="001A6F9C" w:rsidRDefault="00146D0E" w:rsidP="002240ED">
            <w:pPr>
              <w:jc w:val="center"/>
              <w:rPr>
                <w:rFonts w:ascii="Garamond" w:hAnsi="Garamond" w:cs="Arial"/>
                <w:bCs/>
              </w:rPr>
            </w:pPr>
            <w:r>
              <w:rPr>
                <w:rFonts w:ascii="Garamond" w:hAnsi="Garamond" w:cs="Arial"/>
                <w:bCs/>
              </w:rPr>
              <w:t>34.8</w:t>
            </w:r>
          </w:p>
        </w:tc>
      </w:tr>
      <w:tr w:rsidR="00146D0E" w:rsidRPr="006F5E9D" w:rsidTr="00146D0E">
        <w:trPr>
          <w:trHeight w:val="310"/>
          <w:jc w:val="center"/>
        </w:trPr>
        <w:tc>
          <w:tcPr>
            <w:tcW w:w="2635" w:type="dxa"/>
            <w:tcBorders>
              <w:top w:val="nil"/>
              <w:left w:val="single" w:sz="4" w:space="0" w:color="auto"/>
              <w:bottom w:val="single" w:sz="4" w:space="0" w:color="auto"/>
              <w:right w:val="nil"/>
            </w:tcBorders>
            <w:shd w:val="clear" w:color="auto" w:fill="auto"/>
            <w:noWrap/>
          </w:tcPr>
          <w:p w:rsidR="00146D0E" w:rsidRPr="00A0675C" w:rsidRDefault="00146D0E" w:rsidP="002240ED">
            <w:pPr>
              <w:rPr>
                <w:rFonts w:ascii="Garamond" w:hAnsi="Garamond" w:cs="Arial"/>
                <w:b/>
                <w:bCs/>
              </w:rPr>
            </w:pPr>
            <w:r w:rsidRPr="00A0675C">
              <w:rPr>
                <w:rFonts w:ascii="Garamond" w:hAnsi="Garamond" w:cs="Arial"/>
                <w:b/>
                <w:bCs/>
              </w:rPr>
              <w:t>NCDEX, of which</w:t>
            </w:r>
          </w:p>
        </w:tc>
        <w:tc>
          <w:tcPr>
            <w:tcW w:w="1565" w:type="dxa"/>
            <w:tcBorders>
              <w:top w:val="nil"/>
              <w:left w:val="single" w:sz="4" w:space="0" w:color="auto"/>
              <w:bottom w:val="single" w:sz="4" w:space="0" w:color="auto"/>
              <w:right w:val="single" w:sz="4" w:space="0" w:color="auto"/>
            </w:tcBorders>
            <w:shd w:val="clear" w:color="auto" w:fill="auto"/>
            <w:noWrap/>
          </w:tcPr>
          <w:p w:rsidR="00146D0E" w:rsidRPr="00A0675C" w:rsidRDefault="00146D0E" w:rsidP="002240ED">
            <w:pPr>
              <w:jc w:val="right"/>
              <w:rPr>
                <w:rFonts w:ascii="Garamond" w:hAnsi="Garamond" w:cs="Arial"/>
                <w:b/>
                <w:bCs/>
              </w:rPr>
            </w:pPr>
            <w:r w:rsidRPr="00A0675C">
              <w:rPr>
                <w:rFonts w:ascii="Garamond" w:hAnsi="Garamond" w:cs="Arial"/>
                <w:b/>
                <w:bCs/>
              </w:rPr>
              <w:t>5,31,588</w:t>
            </w:r>
          </w:p>
        </w:tc>
        <w:tc>
          <w:tcPr>
            <w:tcW w:w="1137" w:type="dxa"/>
            <w:tcBorders>
              <w:top w:val="nil"/>
              <w:left w:val="nil"/>
              <w:bottom w:val="single" w:sz="4" w:space="0" w:color="auto"/>
              <w:right w:val="single" w:sz="4" w:space="0" w:color="auto"/>
            </w:tcBorders>
          </w:tcPr>
          <w:p w:rsidR="00146D0E" w:rsidRPr="00A0675C" w:rsidRDefault="00146D0E" w:rsidP="002240ED">
            <w:pPr>
              <w:jc w:val="right"/>
              <w:rPr>
                <w:rFonts w:ascii="Garamond" w:hAnsi="Garamond" w:cs="Arial"/>
                <w:b/>
                <w:bCs/>
              </w:rPr>
            </w:pPr>
            <w:r w:rsidRPr="00A0675C">
              <w:rPr>
                <w:rFonts w:ascii="Garamond" w:hAnsi="Garamond" w:cs="Arial"/>
                <w:b/>
                <w:bCs/>
              </w:rPr>
              <w:t>38,311</w:t>
            </w:r>
          </w:p>
        </w:tc>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146D0E" w:rsidRPr="00A0675C" w:rsidRDefault="00146D0E" w:rsidP="002240ED">
            <w:pPr>
              <w:jc w:val="right"/>
              <w:rPr>
                <w:rFonts w:ascii="Garamond" w:hAnsi="Garamond" w:cs="Arial"/>
                <w:b/>
                <w:bCs/>
              </w:rPr>
            </w:pPr>
            <w:r w:rsidRPr="00A0675C">
              <w:rPr>
                <w:rFonts w:ascii="Garamond" w:hAnsi="Garamond" w:cs="Arial"/>
                <w:b/>
                <w:bCs/>
              </w:rPr>
              <w:t>3</w:t>
            </w:r>
            <w:r>
              <w:rPr>
                <w:rFonts w:ascii="Garamond" w:hAnsi="Garamond" w:cs="Arial"/>
                <w:b/>
                <w:bCs/>
              </w:rPr>
              <w:t>5,117</w:t>
            </w:r>
          </w:p>
        </w:tc>
        <w:tc>
          <w:tcPr>
            <w:tcW w:w="2420" w:type="dxa"/>
            <w:tcBorders>
              <w:top w:val="nil"/>
              <w:left w:val="nil"/>
              <w:bottom w:val="single" w:sz="4" w:space="0" w:color="auto"/>
              <w:right w:val="single" w:sz="4" w:space="0" w:color="auto"/>
            </w:tcBorders>
            <w:shd w:val="clear" w:color="auto" w:fill="auto"/>
            <w:noWrap/>
          </w:tcPr>
          <w:p w:rsidR="00146D0E" w:rsidRPr="00E9086F" w:rsidRDefault="00146D0E" w:rsidP="002240ED">
            <w:pPr>
              <w:jc w:val="center"/>
              <w:rPr>
                <w:rFonts w:ascii="Garamond" w:hAnsi="Garamond" w:cs="Arial"/>
                <w:b/>
                <w:bCs/>
              </w:rPr>
            </w:pPr>
            <w:r w:rsidRPr="00E9086F">
              <w:rPr>
                <w:rFonts w:ascii="Garamond" w:hAnsi="Garamond" w:cs="Arial"/>
                <w:b/>
                <w:bCs/>
              </w:rPr>
              <w:t>- 8.3</w:t>
            </w:r>
          </w:p>
        </w:tc>
      </w:tr>
      <w:tr w:rsidR="00146D0E" w:rsidRPr="006F5E9D" w:rsidTr="00146D0E">
        <w:trPr>
          <w:trHeight w:val="312"/>
          <w:jc w:val="center"/>
        </w:trPr>
        <w:tc>
          <w:tcPr>
            <w:tcW w:w="2635" w:type="dxa"/>
            <w:tcBorders>
              <w:top w:val="nil"/>
              <w:left w:val="single" w:sz="4" w:space="0" w:color="auto"/>
              <w:bottom w:val="single" w:sz="4" w:space="0" w:color="auto"/>
              <w:right w:val="nil"/>
            </w:tcBorders>
            <w:shd w:val="clear" w:color="auto" w:fill="auto"/>
            <w:noWrap/>
          </w:tcPr>
          <w:p w:rsidR="00146D0E" w:rsidRPr="006F5E9D" w:rsidRDefault="00146D0E" w:rsidP="002240ED">
            <w:pPr>
              <w:rPr>
                <w:rFonts w:ascii="Garamond" w:hAnsi="Garamond" w:cs="Arial"/>
                <w:bCs/>
                <w:i/>
              </w:rPr>
            </w:pPr>
            <w:r>
              <w:rPr>
                <w:rFonts w:ascii="Garamond" w:hAnsi="Garamond" w:cs="Arial"/>
                <w:bCs/>
                <w:i/>
              </w:rPr>
              <w:t xml:space="preserve">            </w:t>
            </w:r>
            <w:r w:rsidRPr="006F5E9D">
              <w:rPr>
                <w:rFonts w:ascii="Garamond" w:hAnsi="Garamond" w:cs="Arial"/>
                <w:bCs/>
                <w:i/>
              </w:rPr>
              <w:t>Futures</w:t>
            </w:r>
          </w:p>
        </w:tc>
        <w:tc>
          <w:tcPr>
            <w:tcW w:w="1565" w:type="dxa"/>
            <w:tcBorders>
              <w:top w:val="nil"/>
              <w:left w:val="single" w:sz="4" w:space="0" w:color="auto"/>
              <w:bottom w:val="single" w:sz="4" w:space="0" w:color="auto"/>
              <w:right w:val="single" w:sz="4" w:space="0" w:color="auto"/>
            </w:tcBorders>
            <w:shd w:val="clear" w:color="auto" w:fill="auto"/>
            <w:noWrap/>
          </w:tcPr>
          <w:p w:rsidR="00146D0E" w:rsidRPr="001A6F9C" w:rsidRDefault="00146D0E" w:rsidP="002240ED">
            <w:pPr>
              <w:jc w:val="right"/>
              <w:rPr>
                <w:rFonts w:ascii="Garamond" w:hAnsi="Garamond" w:cs="Arial"/>
                <w:bCs/>
              </w:rPr>
            </w:pPr>
            <w:r w:rsidRPr="001A6F9C">
              <w:rPr>
                <w:rFonts w:ascii="Garamond" w:hAnsi="Garamond" w:cs="Arial"/>
                <w:bCs/>
              </w:rPr>
              <w:t xml:space="preserve"> 5,31,414</w:t>
            </w:r>
          </w:p>
        </w:tc>
        <w:tc>
          <w:tcPr>
            <w:tcW w:w="1137" w:type="dxa"/>
            <w:tcBorders>
              <w:top w:val="nil"/>
              <w:left w:val="nil"/>
              <w:bottom w:val="single" w:sz="4" w:space="0" w:color="auto"/>
              <w:right w:val="single" w:sz="4" w:space="0" w:color="auto"/>
            </w:tcBorders>
          </w:tcPr>
          <w:p w:rsidR="00146D0E" w:rsidRPr="001A6F9C" w:rsidRDefault="00146D0E" w:rsidP="002240ED">
            <w:pPr>
              <w:jc w:val="right"/>
              <w:rPr>
                <w:rFonts w:ascii="Garamond" w:hAnsi="Garamond" w:cs="Arial"/>
                <w:bCs/>
              </w:rPr>
            </w:pPr>
            <w:r>
              <w:rPr>
                <w:rFonts w:ascii="Garamond" w:hAnsi="Garamond" w:cs="Arial"/>
                <w:bCs/>
              </w:rPr>
              <w:t>38,311</w:t>
            </w:r>
          </w:p>
        </w:tc>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146D0E" w:rsidRPr="001A6F9C" w:rsidRDefault="00146D0E" w:rsidP="002240ED">
            <w:pPr>
              <w:jc w:val="right"/>
              <w:rPr>
                <w:rFonts w:ascii="Garamond" w:hAnsi="Garamond" w:cs="Arial"/>
                <w:bCs/>
              </w:rPr>
            </w:pPr>
            <w:r>
              <w:rPr>
                <w:rFonts w:ascii="Garamond" w:hAnsi="Garamond" w:cs="Arial"/>
                <w:bCs/>
              </w:rPr>
              <w:t>35,116</w:t>
            </w:r>
          </w:p>
        </w:tc>
        <w:tc>
          <w:tcPr>
            <w:tcW w:w="2420" w:type="dxa"/>
            <w:tcBorders>
              <w:top w:val="nil"/>
              <w:left w:val="nil"/>
              <w:bottom w:val="single" w:sz="4" w:space="0" w:color="auto"/>
              <w:right w:val="single" w:sz="4" w:space="0" w:color="auto"/>
            </w:tcBorders>
            <w:shd w:val="clear" w:color="auto" w:fill="auto"/>
            <w:noWrap/>
          </w:tcPr>
          <w:p w:rsidR="00146D0E" w:rsidRPr="001A6F9C" w:rsidRDefault="00146D0E" w:rsidP="002240ED">
            <w:pPr>
              <w:jc w:val="center"/>
              <w:rPr>
                <w:rFonts w:ascii="Garamond" w:hAnsi="Garamond" w:cs="Arial"/>
                <w:bCs/>
              </w:rPr>
            </w:pPr>
            <w:r>
              <w:rPr>
                <w:rFonts w:ascii="Garamond" w:hAnsi="Garamond" w:cs="Arial"/>
                <w:bCs/>
              </w:rPr>
              <w:t>-8.3</w:t>
            </w:r>
          </w:p>
        </w:tc>
      </w:tr>
      <w:tr w:rsidR="00146D0E" w:rsidRPr="006F5E9D" w:rsidTr="00146D0E">
        <w:trPr>
          <w:trHeight w:val="310"/>
          <w:jc w:val="center"/>
        </w:trPr>
        <w:tc>
          <w:tcPr>
            <w:tcW w:w="2635" w:type="dxa"/>
            <w:tcBorders>
              <w:top w:val="nil"/>
              <w:left w:val="single" w:sz="4" w:space="0" w:color="auto"/>
              <w:bottom w:val="single" w:sz="4" w:space="0" w:color="auto"/>
              <w:right w:val="nil"/>
            </w:tcBorders>
            <w:shd w:val="clear" w:color="auto" w:fill="auto"/>
            <w:noWrap/>
          </w:tcPr>
          <w:p w:rsidR="00146D0E" w:rsidRPr="006F5E9D" w:rsidRDefault="00146D0E" w:rsidP="002240ED">
            <w:pPr>
              <w:rPr>
                <w:rFonts w:ascii="Garamond" w:hAnsi="Garamond" w:cs="Arial"/>
                <w:bCs/>
                <w:i/>
              </w:rPr>
            </w:pPr>
            <w:r>
              <w:rPr>
                <w:rFonts w:ascii="Garamond" w:hAnsi="Garamond" w:cs="Arial"/>
                <w:bCs/>
                <w:i/>
              </w:rPr>
              <w:t xml:space="preserve">          </w:t>
            </w:r>
            <w:r w:rsidRPr="006F5E9D">
              <w:rPr>
                <w:rFonts w:ascii="Garamond" w:hAnsi="Garamond" w:cs="Arial"/>
                <w:bCs/>
                <w:i/>
              </w:rPr>
              <w:t>Options</w:t>
            </w:r>
          </w:p>
        </w:tc>
        <w:tc>
          <w:tcPr>
            <w:tcW w:w="1565" w:type="dxa"/>
            <w:tcBorders>
              <w:top w:val="nil"/>
              <w:left w:val="single" w:sz="4" w:space="0" w:color="auto"/>
              <w:bottom w:val="single" w:sz="4" w:space="0" w:color="auto"/>
              <w:right w:val="single" w:sz="4" w:space="0" w:color="auto"/>
            </w:tcBorders>
            <w:shd w:val="clear" w:color="auto" w:fill="auto"/>
            <w:noWrap/>
          </w:tcPr>
          <w:p w:rsidR="00146D0E" w:rsidRPr="001A6F9C" w:rsidRDefault="00146D0E" w:rsidP="002240ED">
            <w:pPr>
              <w:jc w:val="right"/>
              <w:rPr>
                <w:rFonts w:ascii="Garamond" w:hAnsi="Garamond" w:cs="Arial"/>
                <w:bCs/>
              </w:rPr>
            </w:pPr>
            <w:r w:rsidRPr="001A6F9C">
              <w:rPr>
                <w:rFonts w:ascii="Garamond" w:hAnsi="Garamond" w:cs="Arial"/>
                <w:bCs/>
              </w:rPr>
              <w:t xml:space="preserve">          174 </w:t>
            </w:r>
          </w:p>
        </w:tc>
        <w:tc>
          <w:tcPr>
            <w:tcW w:w="1137" w:type="dxa"/>
            <w:tcBorders>
              <w:top w:val="nil"/>
              <w:left w:val="nil"/>
              <w:bottom w:val="single" w:sz="4" w:space="0" w:color="auto"/>
              <w:right w:val="single" w:sz="4" w:space="0" w:color="auto"/>
            </w:tcBorders>
          </w:tcPr>
          <w:p w:rsidR="00146D0E" w:rsidRPr="001A6F9C" w:rsidRDefault="00146D0E" w:rsidP="002240ED">
            <w:pPr>
              <w:jc w:val="right"/>
              <w:rPr>
                <w:rFonts w:ascii="Garamond" w:hAnsi="Garamond" w:cs="Arial"/>
                <w:bCs/>
              </w:rPr>
            </w:pPr>
            <w:r>
              <w:rPr>
                <w:rFonts w:ascii="Garamond" w:hAnsi="Garamond" w:cs="Arial"/>
                <w:bCs/>
              </w:rPr>
              <w:t>0.5</w:t>
            </w:r>
          </w:p>
        </w:tc>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146D0E" w:rsidRPr="001A6F9C" w:rsidRDefault="00146D0E" w:rsidP="002240ED">
            <w:pPr>
              <w:jc w:val="right"/>
              <w:rPr>
                <w:rFonts w:ascii="Garamond" w:hAnsi="Garamond" w:cs="Arial"/>
                <w:bCs/>
              </w:rPr>
            </w:pPr>
            <w:r>
              <w:rPr>
                <w:rFonts w:ascii="Garamond" w:hAnsi="Garamond" w:cs="Arial"/>
                <w:bCs/>
              </w:rPr>
              <w:t>0.8</w:t>
            </w:r>
          </w:p>
        </w:tc>
        <w:tc>
          <w:tcPr>
            <w:tcW w:w="2420" w:type="dxa"/>
            <w:tcBorders>
              <w:top w:val="nil"/>
              <w:left w:val="nil"/>
              <w:bottom w:val="single" w:sz="4" w:space="0" w:color="auto"/>
              <w:right w:val="single" w:sz="4" w:space="0" w:color="auto"/>
            </w:tcBorders>
            <w:shd w:val="clear" w:color="auto" w:fill="auto"/>
            <w:noWrap/>
          </w:tcPr>
          <w:p w:rsidR="00146D0E" w:rsidRPr="001A6F9C" w:rsidRDefault="00146D0E" w:rsidP="002240ED">
            <w:pPr>
              <w:jc w:val="center"/>
              <w:rPr>
                <w:rFonts w:ascii="Garamond" w:hAnsi="Garamond" w:cs="Arial"/>
                <w:bCs/>
              </w:rPr>
            </w:pPr>
            <w:r>
              <w:rPr>
                <w:rFonts w:ascii="Garamond" w:hAnsi="Garamond" w:cs="Arial"/>
                <w:bCs/>
              </w:rPr>
              <w:t>53.7</w:t>
            </w:r>
          </w:p>
        </w:tc>
      </w:tr>
      <w:tr w:rsidR="00146D0E" w:rsidRPr="00A0675C" w:rsidTr="00146D0E">
        <w:trPr>
          <w:trHeight w:val="226"/>
          <w:jc w:val="center"/>
        </w:trPr>
        <w:tc>
          <w:tcPr>
            <w:tcW w:w="2635" w:type="dxa"/>
            <w:tcBorders>
              <w:top w:val="nil"/>
              <w:left w:val="single" w:sz="4" w:space="0" w:color="auto"/>
              <w:bottom w:val="single" w:sz="4" w:space="0" w:color="auto"/>
              <w:right w:val="single" w:sz="4" w:space="0" w:color="auto"/>
            </w:tcBorders>
            <w:shd w:val="clear" w:color="auto" w:fill="auto"/>
            <w:hideMark/>
          </w:tcPr>
          <w:p w:rsidR="00146D0E" w:rsidRPr="00A0675C" w:rsidRDefault="00146D0E" w:rsidP="002240ED">
            <w:pPr>
              <w:rPr>
                <w:rFonts w:ascii="Garamond" w:hAnsi="Garamond" w:cs="Arial"/>
                <w:b/>
                <w:bCs/>
              </w:rPr>
            </w:pPr>
            <w:r w:rsidRPr="00A0675C">
              <w:rPr>
                <w:rFonts w:ascii="Garamond" w:hAnsi="Garamond" w:cs="Arial"/>
                <w:b/>
                <w:bCs/>
              </w:rPr>
              <w:t>ICEX</w:t>
            </w:r>
          </w:p>
        </w:tc>
        <w:tc>
          <w:tcPr>
            <w:tcW w:w="1565" w:type="dxa"/>
            <w:tcBorders>
              <w:top w:val="nil"/>
              <w:left w:val="nil"/>
              <w:bottom w:val="single" w:sz="4" w:space="0" w:color="auto"/>
              <w:right w:val="single" w:sz="4" w:space="0" w:color="auto"/>
            </w:tcBorders>
            <w:shd w:val="clear" w:color="auto" w:fill="auto"/>
            <w:noWrap/>
            <w:hideMark/>
          </w:tcPr>
          <w:p w:rsidR="00146D0E" w:rsidRPr="00A0675C" w:rsidRDefault="00146D0E" w:rsidP="002240ED">
            <w:pPr>
              <w:jc w:val="right"/>
              <w:rPr>
                <w:rFonts w:ascii="Garamond" w:hAnsi="Garamond" w:cs="Arial"/>
                <w:b/>
                <w:bCs/>
              </w:rPr>
            </w:pPr>
            <w:r w:rsidRPr="00A0675C">
              <w:rPr>
                <w:rFonts w:ascii="Garamond" w:hAnsi="Garamond" w:cs="Arial"/>
                <w:b/>
                <w:bCs/>
              </w:rPr>
              <w:t xml:space="preserve">37,376 </w:t>
            </w:r>
          </w:p>
        </w:tc>
        <w:tc>
          <w:tcPr>
            <w:tcW w:w="1137" w:type="dxa"/>
            <w:tcBorders>
              <w:top w:val="nil"/>
              <w:left w:val="nil"/>
              <w:bottom w:val="single" w:sz="4" w:space="0" w:color="auto"/>
              <w:right w:val="single" w:sz="4" w:space="0" w:color="auto"/>
            </w:tcBorders>
          </w:tcPr>
          <w:p w:rsidR="00146D0E" w:rsidRPr="00A0675C" w:rsidRDefault="00146D0E" w:rsidP="002240ED">
            <w:pPr>
              <w:jc w:val="right"/>
              <w:rPr>
                <w:rFonts w:ascii="Garamond" w:hAnsi="Garamond" w:cs="Arial"/>
                <w:b/>
                <w:bCs/>
              </w:rPr>
            </w:pPr>
            <w:r>
              <w:rPr>
                <w:rFonts w:ascii="Garamond" w:hAnsi="Garamond" w:cs="Arial"/>
                <w:b/>
                <w:bCs/>
              </w:rPr>
              <w:t>2,</w:t>
            </w:r>
            <w:r w:rsidRPr="00A0675C">
              <w:rPr>
                <w:rFonts w:ascii="Garamond" w:hAnsi="Garamond" w:cs="Arial"/>
                <w:b/>
                <w:bCs/>
              </w:rPr>
              <w:t>635</w:t>
            </w:r>
          </w:p>
        </w:tc>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146D0E" w:rsidRPr="00A0675C" w:rsidRDefault="00146D0E" w:rsidP="002240ED">
            <w:pPr>
              <w:jc w:val="right"/>
              <w:rPr>
                <w:rFonts w:ascii="Garamond" w:hAnsi="Garamond" w:cs="Arial"/>
                <w:b/>
                <w:bCs/>
              </w:rPr>
            </w:pPr>
            <w:r>
              <w:rPr>
                <w:rFonts w:ascii="Garamond" w:hAnsi="Garamond" w:cs="Arial"/>
                <w:b/>
                <w:bCs/>
              </w:rPr>
              <w:t>1,761</w:t>
            </w:r>
          </w:p>
        </w:tc>
        <w:tc>
          <w:tcPr>
            <w:tcW w:w="2420" w:type="dxa"/>
            <w:tcBorders>
              <w:top w:val="nil"/>
              <w:left w:val="nil"/>
              <w:bottom w:val="single" w:sz="4" w:space="0" w:color="auto"/>
              <w:right w:val="single" w:sz="4" w:space="0" w:color="auto"/>
            </w:tcBorders>
            <w:shd w:val="clear" w:color="auto" w:fill="auto"/>
            <w:noWrap/>
          </w:tcPr>
          <w:p w:rsidR="00146D0E" w:rsidRPr="00A0675C" w:rsidRDefault="00146D0E" w:rsidP="002240ED">
            <w:pPr>
              <w:jc w:val="center"/>
              <w:rPr>
                <w:rFonts w:ascii="Garamond" w:hAnsi="Garamond" w:cs="Arial"/>
                <w:b/>
                <w:bCs/>
              </w:rPr>
            </w:pPr>
            <w:r>
              <w:rPr>
                <w:rFonts w:ascii="Garamond" w:hAnsi="Garamond" w:cs="Arial"/>
                <w:b/>
                <w:bCs/>
              </w:rPr>
              <w:t>-33.1</w:t>
            </w:r>
          </w:p>
        </w:tc>
      </w:tr>
      <w:tr w:rsidR="00146D0E" w:rsidRPr="00A0675C" w:rsidTr="00146D0E">
        <w:trPr>
          <w:trHeight w:val="226"/>
          <w:jc w:val="center"/>
        </w:trPr>
        <w:tc>
          <w:tcPr>
            <w:tcW w:w="2635" w:type="dxa"/>
            <w:tcBorders>
              <w:top w:val="nil"/>
              <w:left w:val="single" w:sz="4" w:space="0" w:color="auto"/>
              <w:bottom w:val="single" w:sz="4" w:space="0" w:color="auto"/>
              <w:right w:val="single" w:sz="4" w:space="0" w:color="auto"/>
            </w:tcBorders>
            <w:shd w:val="clear" w:color="auto" w:fill="auto"/>
            <w:hideMark/>
          </w:tcPr>
          <w:p w:rsidR="00146D0E" w:rsidRPr="00A0675C" w:rsidRDefault="00146D0E" w:rsidP="002240ED">
            <w:pPr>
              <w:rPr>
                <w:rFonts w:ascii="Garamond" w:hAnsi="Garamond" w:cs="Arial"/>
                <w:b/>
                <w:bCs/>
              </w:rPr>
            </w:pPr>
            <w:r w:rsidRPr="00A0675C">
              <w:rPr>
                <w:rFonts w:ascii="Garamond" w:hAnsi="Garamond" w:cs="Arial"/>
                <w:b/>
                <w:bCs/>
              </w:rPr>
              <w:t>BSE</w:t>
            </w:r>
          </w:p>
        </w:tc>
        <w:tc>
          <w:tcPr>
            <w:tcW w:w="1565" w:type="dxa"/>
            <w:tcBorders>
              <w:top w:val="nil"/>
              <w:left w:val="nil"/>
              <w:bottom w:val="single" w:sz="4" w:space="0" w:color="auto"/>
              <w:right w:val="single" w:sz="4" w:space="0" w:color="auto"/>
            </w:tcBorders>
            <w:shd w:val="clear" w:color="auto" w:fill="auto"/>
            <w:noWrap/>
            <w:hideMark/>
          </w:tcPr>
          <w:p w:rsidR="00146D0E" w:rsidRPr="00A0675C" w:rsidRDefault="00146D0E" w:rsidP="002240ED">
            <w:pPr>
              <w:jc w:val="right"/>
              <w:rPr>
                <w:rFonts w:ascii="Garamond" w:hAnsi="Garamond" w:cs="Arial"/>
                <w:b/>
                <w:bCs/>
              </w:rPr>
            </w:pPr>
            <w:r w:rsidRPr="00A0675C">
              <w:rPr>
                <w:rFonts w:ascii="Garamond" w:hAnsi="Garamond" w:cs="Arial"/>
                <w:b/>
                <w:bCs/>
              </w:rPr>
              <w:t xml:space="preserve">     32,804 </w:t>
            </w:r>
          </w:p>
        </w:tc>
        <w:tc>
          <w:tcPr>
            <w:tcW w:w="1137" w:type="dxa"/>
            <w:tcBorders>
              <w:top w:val="nil"/>
              <w:left w:val="nil"/>
              <w:bottom w:val="single" w:sz="4" w:space="0" w:color="auto"/>
              <w:right w:val="single" w:sz="4" w:space="0" w:color="auto"/>
            </w:tcBorders>
          </w:tcPr>
          <w:p w:rsidR="00146D0E" w:rsidRPr="00A0675C" w:rsidRDefault="00146D0E" w:rsidP="002240ED">
            <w:pPr>
              <w:jc w:val="right"/>
              <w:rPr>
                <w:rFonts w:ascii="Garamond" w:hAnsi="Garamond" w:cs="Arial"/>
                <w:b/>
                <w:bCs/>
              </w:rPr>
            </w:pPr>
            <w:r w:rsidRPr="00A0675C">
              <w:rPr>
                <w:rFonts w:ascii="Garamond" w:hAnsi="Garamond" w:cs="Arial"/>
                <w:b/>
                <w:bCs/>
              </w:rPr>
              <w:t>5,013</w:t>
            </w:r>
          </w:p>
        </w:tc>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146D0E" w:rsidRPr="00A0675C" w:rsidRDefault="00146D0E" w:rsidP="002240ED">
            <w:pPr>
              <w:jc w:val="right"/>
              <w:rPr>
                <w:rFonts w:ascii="Garamond" w:hAnsi="Garamond" w:cs="Arial"/>
                <w:b/>
                <w:bCs/>
              </w:rPr>
            </w:pPr>
            <w:r>
              <w:rPr>
                <w:rFonts w:ascii="Garamond" w:hAnsi="Garamond" w:cs="Arial"/>
                <w:b/>
                <w:bCs/>
              </w:rPr>
              <w:t>3,902</w:t>
            </w:r>
          </w:p>
        </w:tc>
        <w:tc>
          <w:tcPr>
            <w:tcW w:w="2420" w:type="dxa"/>
            <w:tcBorders>
              <w:top w:val="nil"/>
              <w:left w:val="nil"/>
              <w:bottom w:val="single" w:sz="4" w:space="0" w:color="auto"/>
              <w:right w:val="single" w:sz="4" w:space="0" w:color="auto"/>
            </w:tcBorders>
            <w:shd w:val="clear" w:color="auto" w:fill="auto"/>
            <w:noWrap/>
          </w:tcPr>
          <w:p w:rsidR="00146D0E" w:rsidRPr="00A0675C" w:rsidRDefault="00146D0E" w:rsidP="002240ED">
            <w:pPr>
              <w:jc w:val="center"/>
              <w:rPr>
                <w:rFonts w:ascii="Garamond" w:hAnsi="Garamond" w:cs="Arial"/>
                <w:b/>
                <w:bCs/>
              </w:rPr>
            </w:pPr>
            <w:r>
              <w:rPr>
                <w:rFonts w:ascii="Garamond" w:hAnsi="Garamond" w:cs="Arial"/>
                <w:b/>
                <w:bCs/>
              </w:rPr>
              <w:t>-22.1</w:t>
            </w:r>
          </w:p>
        </w:tc>
      </w:tr>
      <w:tr w:rsidR="00146D0E" w:rsidRPr="00A0675C" w:rsidTr="00146D0E">
        <w:trPr>
          <w:trHeight w:val="226"/>
          <w:jc w:val="center"/>
        </w:trPr>
        <w:tc>
          <w:tcPr>
            <w:tcW w:w="2635" w:type="dxa"/>
            <w:tcBorders>
              <w:top w:val="nil"/>
              <w:left w:val="single" w:sz="4" w:space="0" w:color="auto"/>
              <w:bottom w:val="single" w:sz="4" w:space="0" w:color="auto"/>
              <w:right w:val="single" w:sz="4" w:space="0" w:color="auto"/>
            </w:tcBorders>
            <w:shd w:val="clear" w:color="auto" w:fill="auto"/>
            <w:hideMark/>
          </w:tcPr>
          <w:p w:rsidR="00146D0E" w:rsidRPr="00A0675C" w:rsidRDefault="00146D0E" w:rsidP="002240ED">
            <w:pPr>
              <w:rPr>
                <w:rFonts w:ascii="Garamond" w:hAnsi="Garamond" w:cs="Arial"/>
                <w:b/>
                <w:bCs/>
              </w:rPr>
            </w:pPr>
            <w:r w:rsidRPr="00A0675C">
              <w:rPr>
                <w:rFonts w:ascii="Garamond" w:hAnsi="Garamond" w:cs="Arial"/>
                <w:b/>
                <w:bCs/>
              </w:rPr>
              <w:t>NSE</w:t>
            </w:r>
          </w:p>
        </w:tc>
        <w:tc>
          <w:tcPr>
            <w:tcW w:w="1565" w:type="dxa"/>
            <w:tcBorders>
              <w:top w:val="nil"/>
              <w:left w:val="nil"/>
              <w:bottom w:val="single" w:sz="4" w:space="0" w:color="auto"/>
              <w:right w:val="single" w:sz="4" w:space="0" w:color="auto"/>
            </w:tcBorders>
            <w:shd w:val="clear" w:color="auto" w:fill="auto"/>
            <w:noWrap/>
            <w:hideMark/>
          </w:tcPr>
          <w:p w:rsidR="00146D0E" w:rsidRPr="00A0675C" w:rsidRDefault="00146D0E" w:rsidP="002240ED">
            <w:pPr>
              <w:jc w:val="right"/>
              <w:rPr>
                <w:rFonts w:ascii="Garamond" w:hAnsi="Garamond" w:cs="Arial"/>
                <w:b/>
                <w:bCs/>
              </w:rPr>
            </w:pPr>
            <w:r w:rsidRPr="00A0675C">
              <w:rPr>
                <w:rFonts w:ascii="Garamond" w:hAnsi="Garamond" w:cs="Arial"/>
                <w:b/>
                <w:bCs/>
              </w:rPr>
              <w:t xml:space="preserve">       3,444 </w:t>
            </w:r>
          </w:p>
        </w:tc>
        <w:tc>
          <w:tcPr>
            <w:tcW w:w="1137" w:type="dxa"/>
            <w:tcBorders>
              <w:top w:val="nil"/>
              <w:left w:val="nil"/>
              <w:bottom w:val="single" w:sz="4" w:space="0" w:color="auto"/>
              <w:right w:val="single" w:sz="4" w:space="0" w:color="auto"/>
            </w:tcBorders>
          </w:tcPr>
          <w:p w:rsidR="00146D0E" w:rsidRPr="00A0675C" w:rsidRDefault="00146D0E" w:rsidP="002240ED">
            <w:pPr>
              <w:jc w:val="right"/>
              <w:rPr>
                <w:rFonts w:ascii="Garamond" w:hAnsi="Garamond" w:cs="Arial"/>
                <w:b/>
                <w:bCs/>
              </w:rPr>
            </w:pPr>
            <w:r w:rsidRPr="00A0675C">
              <w:rPr>
                <w:rFonts w:ascii="Garamond" w:hAnsi="Garamond" w:cs="Arial"/>
                <w:b/>
                <w:bCs/>
              </w:rPr>
              <w:t>1,489</w:t>
            </w:r>
          </w:p>
        </w:tc>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146D0E" w:rsidRPr="00A0675C" w:rsidRDefault="00146D0E" w:rsidP="002240ED">
            <w:pPr>
              <w:jc w:val="right"/>
              <w:rPr>
                <w:rFonts w:ascii="Garamond" w:hAnsi="Garamond" w:cs="Arial"/>
                <w:b/>
                <w:bCs/>
              </w:rPr>
            </w:pPr>
            <w:r>
              <w:rPr>
                <w:rFonts w:ascii="Garamond" w:hAnsi="Garamond" w:cs="Arial"/>
                <w:b/>
                <w:bCs/>
              </w:rPr>
              <w:t>535</w:t>
            </w:r>
          </w:p>
        </w:tc>
        <w:tc>
          <w:tcPr>
            <w:tcW w:w="2420" w:type="dxa"/>
            <w:tcBorders>
              <w:top w:val="nil"/>
              <w:left w:val="nil"/>
              <w:bottom w:val="single" w:sz="4" w:space="0" w:color="auto"/>
              <w:right w:val="single" w:sz="4" w:space="0" w:color="auto"/>
            </w:tcBorders>
            <w:shd w:val="clear" w:color="auto" w:fill="auto"/>
            <w:noWrap/>
          </w:tcPr>
          <w:p w:rsidR="00146D0E" w:rsidRPr="00A0675C" w:rsidRDefault="00146D0E" w:rsidP="002240ED">
            <w:pPr>
              <w:jc w:val="center"/>
              <w:rPr>
                <w:rFonts w:ascii="Garamond" w:hAnsi="Garamond" w:cs="Arial"/>
                <w:b/>
                <w:bCs/>
              </w:rPr>
            </w:pPr>
            <w:r>
              <w:rPr>
                <w:rFonts w:ascii="Garamond" w:hAnsi="Garamond" w:cs="Arial"/>
                <w:b/>
                <w:bCs/>
              </w:rPr>
              <w:t>-37.2</w:t>
            </w:r>
          </w:p>
        </w:tc>
      </w:tr>
    </w:tbl>
    <w:p w:rsidR="00146D0E" w:rsidRPr="00146D0E" w:rsidRDefault="00146D0E" w:rsidP="00146D0E">
      <w:pPr>
        <w:jc w:val="both"/>
        <w:rPr>
          <w:rFonts w:ascii="Garamond" w:hAnsi="Garamond" w:cs="Arial"/>
          <w:b/>
          <w:bCs/>
          <w:sz w:val="18"/>
          <w:szCs w:val="18"/>
        </w:rPr>
      </w:pPr>
      <w:r w:rsidRPr="00146D0E">
        <w:rPr>
          <w:rFonts w:ascii="Garamond" w:hAnsi="Garamond" w:cs="Arial"/>
          <w:b/>
          <w:bCs/>
          <w:sz w:val="18"/>
          <w:szCs w:val="18"/>
        </w:rPr>
        <w:t xml:space="preserve">       *upto 27</w:t>
      </w:r>
      <w:r w:rsidRPr="00146D0E">
        <w:rPr>
          <w:rFonts w:ascii="Garamond" w:hAnsi="Garamond" w:cs="Arial"/>
          <w:b/>
          <w:bCs/>
          <w:sz w:val="18"/>
          <w:szCs w:val="18"/>
          <w:vertAlign w:val="superscript"/>
        </w:rPr>
        <w:t>th</w:t>
      </w:r>
      <w:r w:rsidRPr="00146D0E">
        <w:rPr>
          <w:rFonts w:ascii="Garamond" w:hAnsi="Garamond" w:cs="Arial"/>
          <w:b/>
          <w:bCs/>
          <w:sz w:val="18"/>
          <w:szCs w:val="18"/>
        </w:rPr>
        <w:t xml:space="preserve"> Sept.2019. Source: MCX, NCDEX, ICEX, BSE and NSE.</w:t>
      </w:r>
    </w:p>
    <w:p w:rsidR="00146D0E" w:rsidRDefault="00146D0E" w:rsidP="00146D0E">
      <w:pPr>
        <w:pStyle w:val="ListParagraph"/>
        <w:spacing w:after="0" w:line="240" w:lineRule="auto"/>
        <w:jc w:val="both"/>
        <w:rPr>
          <w:rFonts w:ascii="Garamond" w:hAnsi="Garamond" w:cs="Arial"/>
          <w:b/>
          <w:bCs/>
          <w:sz w:val="24"/>
          <w:szCs w:val="24"/>
        </w:rPr>
      </w:pPr>
    </w:p>
    <w:p w:rsidR="00146D0E" w:rsidRPr="00146D0E" w:rsidRDefault="00146D0E" w:rsidP="00146D0E">
      <w:pPr>
        <w:pStyle w:val="ListParagraph"/>
        <w:spacing w:after="0" w:line="240" w:lineRule="auto"/>
        <w:ind w:left="0"/>
        <w:jc w:val="both"/>
        <w:rPr>
          <w:rFonts w:ascii="Garamond" w:eastAsia="Times New Roman" w:hAnsi="Garamond"/>
          <w:b/>
          <w:color w:val="000000"/>
          <w:sz w:val="24"/>
          <w:szCs w:val="24"/>
        </w:rPr>
      </w:pPr>
      <w:r>
        <w:rPr>
          <w:rFonts w:ascii="Garamond" w:eastAsia="Times New Roman" w:hAnsi="Garamond"/>
          <w:b/>
          <w:color w:val="000000"/>
          <w:sz w:val="24"/>
          <w:szCs w:val="24"/>
        </w:rPr>
        <w:t xml:space="preserve">B. </w:t>
      </w:r>
      <w:r w:rsidRPr="00146D0E">
        <w:rPr>
          <w:rFonts w:ascii="Garamond" w:eastAsia="Times New Roman" w:hAnsi="Garamond"/>
          <w:b/>
          <w:color w:val="000000"/>
          <w:sz w:val="24"/>
          <w:szCs w:val="24"/>
        </w:rPr>
        <w:t>Turnover</w:t>
      </w:r>
    </w:p>
    <w:p w:rsidR="00146D0E" w:rsidRDefault="00146D0E" w:rsidP="00146D0E">
      <w:pPr>
        <w:pStyle w:val="ListParagraph"/>
        <w:spacing w:after="0" w:line="240" w:lineRule="auto"/>
        <w:jc w:val="both"/>
        <w:rPr>
          <w:rFonts w:ascii="Garamond" w:hAnsi="Garamond" w:cs="Arial"/>
          <w:bCs/>
          <w:sz w:val="24"/>
          <w:szCs w:val="24"/>
        </w:rPr>
      </w:pPr>
    </w:p>
    <w:p w:rsidR="00146D0E" w:rsidRPr="002D0B6A" w:rsidRDefault="00146D0E" w:rsidP="00146D0E">
      <w:pPr>
        <w:pStyle w:val="ListParagraph"/>
        <w:numPr>
          <w:ilvl w:val="0"/>
          <w:numId w:val="27"/>
        </w:numPr>
        <w:spacing w:after="0" w:line="240" w:lineRule="auto"/>
        <w:ind w:left="360"/>
        <w:jc w:val="both"/>
        <w:rPr>
          <w:rFonts w:ascii="Garamond" w:hAnsi="Garamond" w:cs="Arial"/>
          <w:bCs/>
          <w:sz w:val="24"/>
          <w:szCs w:val="24"/>
        </w:rPr>
      </w:pPr>
      <w:r w:rsidRPr="002D0B6A">
        <w:rPr>
          <w:rFonts w:ascii="Garamond" w:hAnsi="Garamond" w:cs="Arial"/>
          <w:bCs/>
          <w:sz w:val="24"/>
          <w:szCs w:val="24"/>
        </w:rPr>
        <w:t xml:space="preserve">During </w:t>
      </w:r>
      <w:r>
        <w:rPr>
          <w:rFonts w:ascii="Garamond" w:hAnsi="Garamond" w:cs="Arial"/>
          <w:bCs/>
          <w:sz w:val="24"/>
          <w:szCs w:val="24"/>
        </w:rPr>
        <w:t>September</w:t>
      </w:r>
      <w:r w:rsidRPr="002D0B6A">
        <w:rPr>
          <w:rFonts w:ascii="Garamond" w:hAnsi="Garamond" w:cs="Arial"/>
          <w:bCs/>
          <w:sz w:val="24"/>
          <w:szCs w:val="24"/>
        </w:rPr>
        <w:t xml:space="preserve"> 201</w:t>
      </w:r>
      <w:r>
        <w:rPr>
          <w:rFonts w:ascii="Garamond" w:hAnsi="Garamond" w:cs="Arial"/>
          <w:bCs/>
          <w:sz w:val="24"/>
          <w:szCs w:val="24"/>
        </w:rPr>
        <w:t>9, t</w:t>
      </w:r>
      <w:r w:rsidRPr="002D0B6A">
        <w:rPr>
          <w:rFonts w:ascii="Garamond" w:hAnsi="Garamond" w:cs="Arial"/>
          <w:bCs/>
          <w:sz w:val="24"/>
          <w:szCs w:val="24"/>
        </w:rPr>
        <w:t xml:space="preserve">he </w:t>
      </w:r>
      <w:r>
        <w:rPr>
          <w:rFonts w:ascii="Garamond" w:hAnsi="Garamond" w:cs="Arial"/>
          <w:bCs/>
          <w:sz w:val="24"/>
          <w:szCs w:val="24"/>
        </w:rPr>
        <w:t xml:space="preserve">aggregate </w:t>
      </w:r>
      <w:r w:rsidRPr="002D0B6A">
        <w:rPr>
          <w:rFonts w:ascii="Garamond" w:hAnsi="Garamond" w:cs="Arial"/>
          <w:bCs/>
          <w:sz w:val="24"/>
          <w:szCs w:val="24"/>
        </w:rPr>
        <w:t xml:space="preserve">turnover </w:t>
      </w:r>
      <w:r>
        <w:rPr>
          <w:rFonts w:ascii="Garamond" w:hAnsi="Garamond" w:cs="Arial"/>
          <w:bCs/>
          <w:sz w:val="24"/>
          <w:szCs w:val="24"/>
        </w:rPr>
        <w:t>of</w:t>
      </w:r>
      <w:r w:rsidRPr="002D0B6A">
        <w:rPr>
          <w:rFonts w:ascii="Garamond" w:hAnsi="Garamond" w:cs="Arial"/>
          <w:bCs/>
          <w:sz w:val="24"/>
          <w:szCs w:val="24"/>
        </w:rPr>
        <w:t xml:space="preserve"> all </w:t>
      </w:r>
      <w:r>
        <w:rPr>
          <w:rFonts w:ascii="Garamond" w:hAnsi="Garamond" w:cs="Arial"/>
          <w:bCs/>
          <w:sz w:val="24"/>
          <w:szCs w:val="24"/>
        </w:rPr>
        <w:t xml:space="preserve">commodity </w:t>
      </w:r>
      <w:r w:rsidRPr="002D0B6A">
        <w:rPr>
          <w:rFonts w:ascii="Garamond" w:hAnsi="Garamond" w:cs="Arial"/>
          <w:bCs/>
          <w:sz w:val="24"/>
          <w:szCs w:val="24"/>
        </w:rPr>
        <w:t xml:space="preserve">exchanges </w:t>
      </w:r>
      <w:r>
        <w:rPr>
          <w:rFonts w:ascii="Garamond" w:hAnsi="Garamond" w:cs="Arial"/>
          <w:bCs/>
          <w:sz w:val="24"/>
          <w:szCs w:val="24"/>
        </w:rPr>
        <w:t xml:space="preserve">increased by 6.7 per cent to </w:t>
      </w:r>
      <w:r w:rsidRPr="00D40554">
        <w:rPr>
          <w:rFonts w:ascii="Times New Roman" w:hAnsi="Times New Roman"/>
          <w:bCs/>
          <w:sz w:val="24"/>
          <w:szCs w:val="24"/>
        </w:rPr>
        <w:t>₹</w:t>
      </w:r>
      <w:r>
        <w:rPr>
          <w:rFonts w:ascii="Garamond" w:hAnsi="Garamond" w:cs="Arial"/>
          <w:bCs/>
          <w:sz w:val="24"/>
          <w:szCs w:val="24"/>
        </w:rPr>
        <w:t>8,59,269</w:t>
      </w:r>
      <w:r w:rsidRPr="000A2A9C">
        <w:rPr>
          <w:rFonts w:ascii="Garamond" w:hAnsi="Garamond" w:cs="Arial"/>
          <w:bCs/>
          <w:sz w:val="24"/>
          <w:szCs w:val="24"/>
        </w:rPr>
        <w:t xml:space="preserve"> crore</w:t>
      </w:r>
      <w:r>
        <w:rPr>
          <w:rFonts w:ascii="Garamond" w:hAnsi="Garamond" w:cs="Arial"/>
          <w:bCs/>
          <w:sz w:val="24"/>
          <w:szCs w:val="24"/>
        </w:rPr>
        <w:t xml:space="preserve"> due to increase in turnover at MCX. However, the turnover at other four exchanges viz. NCDEX, ICEX, BSE and NSE decreased during the month.</w:t>
      </w:r>
      <w:r w:rsidRPr="009D1D99">
        <w:rPr>
          <w:rFonts w:ascii="Garamond" w:hAnsi="Garamond" w:cs="Arial"/>
          <w:bCs/>
          <w:sz w:val="24"/>
          <w:szCs w:val="24"/>
        </w:rPr>
        <w:t xml:space="preserve"> The agricultural segment contributed </w:t>
      </w:r>
      <w:r>
        <w:rPr>
          <w:rFonts w:ascii="Garamond" w:hAnsi="Garamond" w:cs="Arial"/>
          <w:bCs/>
          <w:sz w:val="24"/>
          <w:szCs w:val="24"/>
        </w:rPr>
        <w:t>5.1</w:t>
      </w:r>
      <w:r w:rsidRPr="009D1D99">
        <w:rPr>
          <w:rFonts w:ascii="Garamond" w:hAnsi="Garamond" w:cs="Arial"/>
          <w:bCs/>
          <w:sz w:val="24"/>
          <w:szCs w:val="24"/>
        </w:rPr>
        <w:t xml:space="preserve"> per cent</w:t>
      </w:r>
      <w:r>
        <w:rPr>
          <w:rFonts w:ascii="Garamond" w:hAnsi="Garamond" w:cs="Arial"/>
          <w:bCs/>
          <w:sz w:val="24"/>
          <w:szCs w:val="24"/>
        </w:rPr>
        <w:t xml:space="preserve"> to the total turnover</w:t>
      </w:r>
      <w:r w:rsidRPr="009D1D99">
        <w:rPr>
          <w:rFonts w:ascii="Garamond" w:hAnsi="Garamond" w:cs="Arial"/>
          <w:bCs/>
          <w:sz w:val="24"/>
          <w:szCs w:val="24"/>
        </w:rPr>
        <w:t xml:space="preserve">, while non-agricultural segment </w:t>
      </w:r>
      <w:r>
        <w:rPr>
          <w:rFonts w:ascii="Garamond" w:hAnsi="Garamond" w:cs="Arial"/>
          <w:bCs/>
          <w:sz w:val="24"/>
          <w:szCs w:val="24"/>
        </w:rPr>
        <w:t>accounted for 94.9</w:t>
      </w:r>
      <w:r w:rsidRPr="009D1D99">
        <w:rPr>
          <w:rFonts w:ascii="Garamond" w:hAnsi="Garamond" w:cs="Arial"/>
          <w:bCs/>
          <w:sz w:val="24"/>
          <w:szCs w:val="24"/>
        </w:rPr>
        <w:t xml:space="preserve"> per cent.</w:t>
      </w:r>
      <w:r w:rsidRPr="002D0B6A">
        <w:rPr>
          <w:rFonts w:ascii="Garamond" w:hAnsi="Garamond" w:cs="Arial"/>
          <w:bCs/>
          <w:sz w:val="24"/>
          <w:szCs w:val="24"/>
        </w:rPr>
        <w:t xml:space="preserve"> </w:t>
      </w:r>
    </w:p>
    <w:p w:rsidR="00146D0E" w:rsidRPr="002D0B6A" w:rsidRDefault="00146D0E" w:rsidP="00146D0E">
      <w:pPr>
        <w:pStyle w:val="ListParagraph"/>
        <w:shd w:val="clear" w:color="auto" w:fill="FFFFFF" w:themeFill="background1"/>
        <w:spacing w:after="0" w:line="240" w:lineRule="auto"/>
        <w:ind w:left="0"/>
        <w:jc w:val="both"/>
        <w:rPr>
          <w:rFonts w:ascii="Garamond" w:hAnsi="Garamond" w:cs="Arial"/>
          <w:bCs/>
          <w:sz w:val="24"/>
          <w:szCs w:val="24"/>
        </w:rPr>
      </w:pPr>
    </w:p>
    <w:p w:rsidR="00146D0E" w:rsidRPr="002D0B6A" w:rsidRDefault="00146D0E" w:rsidP="00146D0E">
      <w:pPr>
        <w:pStyle w:val="ListParagraph"/>
        <w:numPr>
          <w:ilvl w:val="0"/>
          <w:numId w:val="27"/>
        </w:numPr>
        <w:spacing w:after="0" w:line="240" w:lineRule="auto"/>
        <w:ind w:left="360"/>
        <w:jc w:val="both"/>
        <w:rPr>
          <w:rFonts w:ascii="Garamond" w:hAnsi="Garamond" w:cs="Arial"/>
          <w:bCs/>
          <w:sz w:val="24"/>
          <w:szCs w:val="24"/>
        </w:rPr>
      </w:pPr>
      <w:r w:rsidRPr="002D0B6A">
        <w:rPr>
          <w:rFonts w:ascii="Garamond" w:hAnsi="Garamond" w:cs="Arial"/>
          <w:bCs/>
          <w:sz w:val="24"/>
          <w:szCs w:val="24"/>
        </w:rPr>
        <w:t xml:space="preserve">The total turnover (futures </w:t>
      </w:r>
      <w:r>
        <w:rPr>
          <w:rFonts w:ascii="Garamond" w:hAnsi="Garamond" w:cs="Arial"/>
          <w:bCs/>
          <w:sz w:val="24"/>
          <w:szCs w:val="24"/>
        </w:rPr>
        <w:t>&amp;</w:t>
      </w:r>
      <w:r w:rsidRPr="002D0B6A">
        <w:rPr>
          <w:rFonts w:ascii="Garamond" w:hAnsi="Garamond" w:cs="Arial"/>
          <w:bCs/>
          <w:sz w:val="24"/>
          <w:szCs w:val="24"/>
        </w:rPr>
        <w:t xml:space="preserve"> options) at MCX </w:t>
      </w:r>
      <w:r>
        <w:rPr>
          <w:rFonts w:ascii="Garamond" w:hAnsi="Garamond" w:cs="Arial"/>
          <w:bCs/>
          <w:sz w:val="24"/>
          <w:szCs w:val="24"/>
        </w:rPr>
        <w:t>in</w:t>
      </w:r>
      <w:r w:rsidRPr="002D0B6A">
        <w:rPr>
          <w:rFonts w:ascii="Garamond" w:hAnsi="Garamond" w:cs="Arial"/>
          <w:bCs/>
          <w:sz w:val="24"/>
          <w:szCs w:val="24"/>
        </w:rPr>
        <w:t xml:space="preserve">creased by </w:t>
      </w:r>
      <w:r>
        <w:rPr>
          <w:rFonts w:ascii="Garamond" w:hAnsi="Garamond" w:cs="Arial"/>
          <w:bCs/>
          <w:sz w:val="24"/>
          <w:szCs w:val="24"/>
        </w:rPr>
        <w:t>7.9</w:t>
      </w:r>
      <w:r w:rsidRPr="002D0B6A">
        <w:rPr>
          <w:rFonts w:ascii="Garamond" w:hAnsi="Garamond" w:cs="Arial"/>
          <w:bCs/>
          <w:sz w:val="24"/>
          <w:szCs w:val="24"/>
        </w:rPr>
        <w:t xml:space="preserve"> per cent to </w:t>
      </w:r>
      <w:r w:rsidRPr="002D0B6A">
        <w:rPr>
          <w:rFonts w:ascii="Tahoma" w:hAnsi="Tahoma" w:cs="Tahoma"/>
          <w:bCs/>
          <w:sz w:val="24"/>
          <w:szCs w:val="24"/>
        </w:rPr>
        <w:t>₹</w:t>
      </w:r>
      <w:r w:rsidRPr="00B71F01">
        <w:rPr>
          <w:rFonts w:ascii="Garamond" w:hAnsi="Garamond" w:cs="Arial"/>
          <w:bCs/>
          <w:sz w:val="24"/>
          <w:szCs w:val="24"/>
        </w:rPr>
        <w:t>8,17,553</w:t>
      </w:r>
      <w:r w:rsidRPr="002D0B6A">
        <w:rPr>
          <w:rFonts w:ascii="Garamond" w:hAnsi="Garamond" w:cs="Arial"/>
          <w:bCs/>
          <w:sz w:val="24"/>
          <w:szCs w:val="24"/>
        </w:rPr>
        <w:t xml:space="preserve"> crore</w:t>
      </w:r>
      <w:r w:rsidRPr="003939BE">
        <w:rPr>
          <w:rFonts w:ascii="Garamond" w:hAnsi="Garamond" w:cs="Arial"/>
          <w:bCs/>
          <w:sz w:val="24"/>
          <w:szCs w:val="24"/>
        </w:rPr>
        <w:t xml:space="preserve"> </w:t>
      </w:r>
      <w:r w:rsidRPr="002D0B6A">
        <w:rPr>
          <w:rFonts w:ascii="Garamond" w:hAnsi="Garamond" w:cs="Arial"/>
          <w:bCs/>
          <w:sz w:val="24"/>
          <w:szCs w:val="24"/>
        </w:rPr>
        <w:t xml:space="preserve">during </w:t>
      </w:r>
      <w:r>
        <w:rPr>
          <w:rFonts w:ascii="Garamond" w:hAnsi="Garamond" w:cs="Arial"/>
          <w:bCs/>
          <w:sz w:val="24"/>
          <w:szCs w:val="24"/>
        </w:rPr>
        <w:t>September</w:t>
      </w:r>
      <w:r w:rsidRPr="002D0B6A">
        <w:rPr>
          <w:rFonts w:ascii="Garamond" w:hAnsi="Garamond" w:cs="Arial"/>
          <w:bCs/>
          <w:sz w:val="24"/>
          <w:szCs w:val="24"/>
        </w:rPr>
        <w:t xml:space="preserve"> 201</w:t>
      </w:r>
      <w:r>
        <w:rPr>
          <w:rFonts w:ascii="Garamond" w:hAnsi="Garamond" w:cs="Arial"/>
          <w:bCs/>
          <w:sz w:val="24"/>
          <w:szCs w:val="24"/>
        </w:rPr>
        <w:t>9. The turnover in futures segment increased by 7.1 per cent due to rise in volume and traded value of bullion, metal and energy segment. While turnover in bullion, metal and energy futures rose by 7.3 percent, 7.1 per cent and 7.5 per cent respectively,</w:t>
      </w:r>
      <w:r w:rsidR="002E627C">
        <w:rPr>
          <w:rFonts w:ascii="Garamond" w:hAnsi="Garamond" w:cs="Arial"/>
          <w:bCs/>
          <w:sz w:val="24"/>
          <w:szCs w:val="24"/>
        </w:rPr>
        <w:t xml:space="preserve"> further agri. futures</w:t>
      </w:r>
      <w:r>
        <w:rPr>
          <w:rFonts w:ascii="Garamond" w:hAnsi="Garamond" w:cs="Arial"/>
          <w:bCs/>
          <w:sz w:val="24"/>
          <w:szCs w:val="24"/>
        </w:rPr>
        <w:t xml:space="preserve"> declined by 27.1 per cent in September</w:t>
      </w:r>
      <w:r w:rsidRPr="006F5E9D">
        <w:rPr>
          <w:rFonts w:ascii="Garamond" w:hAnsi="Garamond" w:cs="Arial"/>
          <w:bCs/>
          <w:sz w:val="24"/>
          <w:szCs w:val="24"/>
        </w:rPr>
        <w:t>. The notional turnover of option</w:t>
      </w:r>
      <w:r w:rsidR="002E627C">
        <w:rPr>
          <w:rFonts w:ascii="Garamond" w:hAnsi="Garamond" w:cs="Arial"/>
          <w:bCs/>
          <w:sz w:val="24"/>
          <w:szCs w:val="24"/>
        </w:rPr>
        <w:t>s</w:t>
      </w:r>
      <w:r w:rsidRPr="006F5E9D">
        <w:rPr>
          <w:rFonts w:ascii="Garamond" w:hAnsi="Garamond" w:cs="Arial"/>
          <w:bCs/>
          <w:sz w:val="24"/>
          <w:szCs w:val="24"/>
        </w:rPr>
        <w:t xml:space="preserve"> contracts traded at MCX increased by </w:t>
      </w:r>
      <w:r>
        <w:rPr>
          <w:rFonts w:ascii="Garamond" w:hAnsi="Garamond" w:cs="Arial"/>
          <w:bCs/>
          <w:sz w:val="24"/>
          <w:szCs w:val="24"/>
        </w:rPr>
        <w:t>34.8</w:t>
      </w:r>
      <w:r w:rsidRPr="006F5E9D">
        <w:rPr>
          <w:rFonts w:ascii="Garamond" w:hAnsi="Garamond" w:cs="Arial"/>
          <w:bCs/>
          <w:sz w:val="24"/>
          <w:szCs w:val="24"/>
        </w:rPr>
        <w:t xml:space="preserve"> per cent during the month as options turnover </w:t>
      </w:r>
      <w:r>
        <w:rPr>
          <w:rFonts w:ascii="Garamond" w:hAnsi="Garamond" w:cs="Arial"/>
          <w:bCs/>
          <w:sz w:val="24"/>
          <w:szCs w:val="24"/>
        </w:rPr>
        <w:t xml:space="preserve">in all the three </w:t>
      </w:r>
      <w:r w:rsidRPr="006F5E9D">
        <w:rPr>
          <w:rFonts w:ascii="Garamond" w:hAnsi="Garamond" w:cs="Arial"/>
          <w:bCs/>
          <w:sz w:val="24"/>
          <w:szCs w:val="24"/>
        </w:rPr>
        <w:t>segment</w:t>
      </w:r>
      <w:r>
        <w:rPr>
          <w:rFonts w:ascii="Garamond" w:hAnsi="Garamond" w:cs="Arial"/>
          <w:bCs/>
          <w:sz w:val="24"/>
          <w:szCs w:val="24"/>
        </w:rPr>
        <w:t>s</w:t>
      </w:r>
      <w:r w:rsidRPr="006F5E9D">
        <w:rPr>
          <w:rFonts w:ascii="Garamond" w:hAnsi="Garamond" w:cs="Arial"/>
          <w:bCs/>
          <w:sz w:val="24"/>
          <w:szCs w:val="24"/>
        </w:rPr>
        <w:t xml:space="preserve"> increased</w:t>
      </w:r>
      <w:r>
        <w:rPr>
          <w:rFonts w:ascii="Garamond" w:hAnsi="Garamond" w:cs="Arial"/>
          <w:bCs/>
          <w:sz w:val="24"/>
          <w:szCs w:val="24"/>
        </w:rPr>
        <w:t xml:space="preserve">. Options turnover in energy segment increased by 50.8 per cent, followed by bullion (24.2 per cent) and metal (13.8 per cent). </w:t>
      </w:r>
      <w:r w:rsidRPr="002D0B6A">
        <w:rPr>
          <w:rFonts w:ascii="Garamond" w:hAnsi="Garamond" w:cs="Arial"/>
          <w:bCs/>
          <w:sz w:val="24"/>
          <w:szCs w:val="24"/>
        </w:rPr>
        <w:t xml:space="preserve">The options contracts contributed </w:t>
      </w:r>
      <w:r>
        <w:rPr>
          <w:rFonts w:ascii="Garamond" w:hAnsi="Garamond" w:cs="Arial"/>
          <w:bCs/>
          <w:sz w:val="24"/>
          <w:szCs w:val="24"/>
        </w:rPr>
        <w:t>3.8</w:t>
      </w:r>
      <w:r w:rsidRPr="002D0B6A">
        <w:rPr>
          <w:rFonts w:ascii="Garamond" w:hAnsi="Garamond" w:cs="Arial"/>
          <w:bCs/>
          <w:sz w:val="24"/>
          <w:szCs w:val="24"/>
        </w:rPr>
        <w:t xml:space="preserve"> per cent to the total turnover</w:t>
      </w:r>
      <w:r>
        <w:rPr>
          <w:rFonts w:ascii="Garamond" w:hAnsi="Garamond" w:cs="Arial"/>
          <w:bCs/>
          <w:sz w:val="24"/>
          <w:szCs w:val="24"/>
        </w:rPr>
        <w:t xml:space="preserve"> at MCX</w:t>
      </w:r>
      <w:r w:rsidRPr="002D0B6A">
        <w:rPr>
          <w:rFonts w:ascii="Garamond" w:hAnsi="Garamond" w:cs="Arial"/>
          <w:bCs/>
          <w:sz w:val="24"/>
          <w:szCs w:val="24"/>
        </w:rPr>
        <w:t xml:space="preserve">. </w:t>
      </w:r>
    </w:p>
    <w:p w:rsidR="00146D0E" w:rsidRDefault="00146D0E" w:rsidP="00146D0E">
      <w:pPr>
        <w:pStyle w:val="ListParagraph"/>
        <w:spacing w:after="0" w:line="240" w:lineRule="auto"/>
        <w:ind w:left="0"/>
        <w:jc w:val="both"/>
        <w:rPr>
          <w:rFonts w:ascii="Garamond" w:hAnsi="Garamond" w:cs="Arial"/>
          <w:bCs/>
          <w:sz w:val="24"/>
          <w:szCs w:val="24"/>
          <w:highlight w:val="darkYellow"/>
        </w:rPr>
      </w:pPr>
    </w:p>
    <w:p w:rsidR="00146D0E" w:rsidRPr="004F6821" w:rsidRDefault="00146D0E" w:rsidP="00146D0E">
      <w:pPr>
        <w:pStyle w:val="ListParagraph"/>
        <w:numPr>
          <w:ilvl w:val="0"/>
          <w:numId w:val="27"/>
        </w:numPr>
        <w:spacing w:after="0" w:line="240" w:lineRule="auto"/>
        <w:ind w:left="360"/>
        <w:jc w:val="both"/>
        <w:rPr>
          <w:rFonts w:ascii="Garamond" w:hAnsi="Garamond" w:cs="Arial"/>
          <w:bCs/>
          <w:sz w:val="24"/>
          <w:szCs w:val="24"/>
        </w:rPr>
      </w:pPr>
      <w:r w:rsidRPr="004F6821">
        <w:rPr>
          <w:rFonts w:ascii="Garamond" w:hAnsi="Garamond" w:cs="Arial"/>
          <w:bCs/>
          <w:sz w:val="24"/>
          <w:szCs w:val="24"/>
        </w:rPr>
        <w:lastRenderedPageBreak/>
        <w:t xml:space="preserve">MCX </w:t>
      </w:r>
      <w:r>
        <w:rPr>
          <w:rFonts w:ascii="Garamond" w:hAnsi="Garamond" w:cs="Arial"/>
          <w:bCs/>
          <w:sz w:val="24"/>
          <w:szCs w:val="24"/>
        </w:rPr>
        <w:t xml:space="preserve">added one more commodity in its agri. basket by launching </w:t>
      </w:r>
      <w:r w:rsidRPr="004F6821">
        <w:rPr>
          <w:rFonts w:ascii="Garamond" w:hAnsi="Garamond" w:cs="Arial"/>
          <w:bCs/>
          <w:sz w:val="24"/>
          <w:szCs w:val="24"/>
        </w:rPr>
        <w:t xml:space="preserve">futures trading in kapas </w:t>
      </w:r>
      <w:r>
        <w:rPr>
          <w:rFonts w:ascii="Garamond" w:hAnsi="Garamond" w:cs="Arial"/>
          <w:bCs/>
          <w:sz w:val="24"/>
          <w:szCs w:val="24"/>
        </w:rPr>
        <w:t>on 30</w:t>
      </w:r>
      <w:r w:rsidRPr="004F6821">
        <w:rPr>
          <w:rFonts w:ascii="Garamond" w:hAnsi="Garamond" w:cs="Arial"/>
          <w:bCs/>
          <w:sz w:val="24"/>
          <w:szCs w:val="24"/>
          <w:vertAlign w:val="superscript"/>
        </w:rPr>
        <w:t>th</w:t>
      </w:r>
      <w:r>
        <w:rPr>
          <w:rFonts w:ascii="Garamond" w:hAnsi="Garamond" w:cs="Arial"/>
          <w:bCs/>
          <w:sz w:val="24"/>
          <w:szCs w:val="24"/>
        </w:rPr>
        <w:t xml:space="preserve"> September 2019 and recorded a total turnover of </w:t>
      </w:r>
      <w:r w:rsidRPr="002D0B6A">
        <w:rPr>
          <w:rFonts w:ascii="Tahoma" w:hAnsi="Tahoma" w:cs="Tahoma"/>
          <w:bCs/>
          <w:sz w:val="24"/>
          <w:szCs w:val="24"/>
        </w:rPr>
        <w:t>₹</w:t>
      </w:r>
      <w:r w:rsidRPr="004F6821">
        <w:rPr>
          <w:rFonts w:ascii="Garamond" w:hAnsi="Garamond" w:cs="Arial"/>
          <w:bCs/>
          <w:sz w:val="24"/>
          <w:szCs w:val="24"/>
        </w:rPr>
        <w:t>7 crore</w:t>
      </w:r>
      <w:r>
        <w:rPr>
          <w:rFonts w:ascii="Garamond" w:hAnsi="Garamond" w:cs="Arial"/>
          <w:bCs/>
          <w:sz w:val="24"/>
          <w:szCs w:val="24"/>
        </w:rPr>
        <w:t xml:space="preserve"> during the month</w:t>
      </w:r>
      <w:r w:rsidRPr="004F6821">
        <w:rPr>
          <w:rFonts w:ascii="Garamond" w:hAnsi="Garamond" w:cs="Arial"/>
          <w:bCs/>
          <w:sz w:val="24"/>
          <w:szCs w:val="24"/>
        </w:rPr>
        <w:t>.</w:t>
      </w:r>
      <w:r>
        <w:rPr>
          <w:rFonts w:ascii="Garamond" w:hAnsi="Garamond" w:cs="Arial"/>
          <w:bCs/>
          <w:sz w:val="24"/>
          <w:szCs w:val="24"/>
        </w:rPr>
        <w:t xml:space="preserve"> </w:t>
      </w:r>
    </w:p>
    <w:p w:rsidR="00146D0E" w:rsidRDefault="00146D0E" w:rsidP="00146D0E">
      <w:pPr>
        <w:pStyle w:val="ListParagraph"/>
        <w:spacing w:after="0" w:line="240" w:lineRule="auto"/>
        <w:ind w:left="0"/>
        <w:jc w:val="both"/>
        <w:rPr>
          <w:rFonts w:ascii="Garamond" w:hAnsi="Garamond" w:cs="Arial"/>
          <w:bCs/>
          <w:sz w:val="24"/>
          <w:szCs w:val="24"/>
        </w:rPr>
      </w:pPr>
    </w:p>
    <w:p w:rsidR="00146D0E" w:rsidRDefault="00146D0E" w:rsidP="00146D0E">
      <w:pPr>
        <w:pStyle w:val="ListParagraph"/>
        <w:numPr>
          <w:ilvl w:val="0"/>
          <w:numId w:val="27"/>
        </w:numPr>
        <w:spacing w:after="0" w:line="240" w:lineRule="auto"/>
        <w:ind w:left="360"/>
        <w:jc w:val="both"/>
        <w:rPr>
          <w:rFonts w:ascii="Garamond" w:hAnsi="Garamond" w:cs="Arial"/>
          <w:bCs/>
          <w:sz w:val="24"/>
          <w:szCs w:val="24"/>
        </w:rPr>
      </w:pPr>
      <w:r w:rsidRPr="00E51999">
        <w:rPr>
          <w:rFonts w:ascii="Garamond" w:hAnsi="Garamond" w:cs="Arial"/>
          <w:bCs/>
          <w:sz w:val="24"/>
          <w:szCs w:val="24"/>
        </w:rPr>
        <w:t xml:space="preserve">During the month, the total turnover (futures &amp; options contracts) at NCDEX </w:t>
      </w:r>
      <w:r>
        <w:rPr>
          <w:rFonts w:ascii="Garamond" w:hAnsi="Garamond" w:cs="Arial"/>
          <w:bCs/>
          <w:sz w:val="24"/>
          <w:szCs w:val="24"/>
        </w:rPr>
        <w:t>de</w:t>
      </w:r>
      <w:r w:rsidRPr="00E51999">
        <w:rPr>
          <w:rFonts w:ascii="Garamond" w:hAnsi="Garamond" w:cs="Arial"/>
          <w:bCs/>
          <w:sz w:val="24"/>
          <w:szCs w:val="24"/>
        </w:rPr>
        <w:t xml:space="preserve">creased by </w:t>
      </w:r>
      <w:r>
        <w:rPr>
          <w:rFonts w:ascii="Garamond" w:hAnsi="Garamond" w:cs="Arial"/>
          <w:bCs/>
          <w:sz w:val="24"/>
          <w:szCs w:val="24"/>
        </w:rPr>
        <w:t>8.3</w:t>
      </w:r>
      <w:r w:rsidRPr="00E51999">
        <w:rPr>
          <w:rFonts w:ascii="Garamond" w:hAnsi="Garamond" w:cs="Arial"/>
          <w:bCs/>
          <w:sz w:val="24"/>
          <w:szCs w:val="24"/>
        </w:rPr>
        <w:t xml:space="preserve"> per cent to </w:t>
      </w:r>
      <w:r w:rsidRPr="00E51999">
        <w:rPr>
          <w:rFonts w:ascii="Tahoma" w:hAnsi="Tahoma" w:cs="Tahoma"/>
          <w:bCs/>
          <w:sz w:val="24"/>
          <w:szCs w:val="24"/>
        </w:rPr>
        <w:t>₹</w:t>
      </w:r>
      <w:r>
        <w:rPr>
          <w:rFonts w:ascii="Garamond" w:hAnsi="Garamond" w:cs="Arial"/>
          <w:bCs/>
          <w:sz w:val="24"/>
          <w:szCs w:val="24"/>
        </w:rPr>
        <w:t>35,117</w:t>
      </w:r>
      <w:r w:rsidRPr="00E51999">
        <w:rPr>
          <w:rFonts w:ascii="Garamond" w:hAnsi="Garamond" w:cs="Arial"/>
          <w:bCs/>
          <w:sz w:val="24"/>
          <w:szCs w:val="24"/>
        </w:rPr>
        <w:t xml:space="preserve"> crore, due to </w:t>
      </w:r>
      <w:r>
        <w:rPr>
          <w:rFonts w:ascii="Garamond" w:hAnsi="Garamond" w:cs="Arial"/>
          <w:bCs/>
          <w:sz w:val="24"/>
          <w:szCs w:val="24"/>
        </w:rPr>
        <w:t>decrease</w:t>
      </w:r>
      <w:r w:rsidRPr="00E51999">
        <w:rPr>
          <w:rFonts w:ascii="Garamond" w:hAnsi="Garamond" w:cs="Arial"/>
          <w:bCs/>
          <w:sz w:val="24"/>
          <w:szCs w:val="24"/>
        </w:rPr>
        <w:t xml:space="preserve"> in volumes and traded value </w:t>
      </w:r>
      <w:r>
        <w:rPr>
          <w:rFonts w:ascii="Garamond" w:hAnsi="Garamond" w:cs="Arial"/>
          <w:bCs/>
          <w:sz w:val="24"/>
          <w:szCs w:val="24"/>
        </w:rPr>
        <w:t xml:space="preserve">of all the traded commodities (total 18) except castorseed, chana, kapas, soybean and turmeric. Turnover in option segments at NCDEX increased from </w:t>
      </w:r>
      <w:r w:rsidRPr="00E51999">
        <w:rPr>
          <w:rFonts w:ascii="Tahoma" w:hAnsi="Tahoma" w:cs="Tahoma"/>
          <w:bCs/>
          <w:sz w:val="24"/>
          <w:szCs w:val="24"/>
        </w:rPr>
        <w:t>₹</w:t>
      </w:r>
      <w:r w:rsidRPr="00792AE9">
        <w:rPr>
          <w:rFonts w:ascii="Garamond" w:hAnsi="Garamond" w:cs="Arial"/>
          <w:bCs/>
          <w:sz w:val="24"/>
          <w:szCs w:val="24"/>
        </w:rPr>
        <w:t>0.5</w:t>
      </w:r>
      <w:r>
        <w:rPr>
          <w:rFonts w:ascii="Garamond" w:hAnsi="Garamond" w:cs="Arial"/>
          <w:bCs/>
          <w:sz w:val="24"/>
          <w:szCs w:val="24"/>
        </w:rPr>
        <w:t xml:space="preserve"> crore to </w:t>
      </w:r>
      <w:r w:rsidRPr="00E51999">
        <w:rPr>
          <w:rFonts w:ascii="Tahoma" w:hAnsi="Tahoma" w:cs="Tahoma"/>
          <w:bCs/>
          <w:sz w:val="24"/>
          <w:szCs w:val="24"/>
        </w:rPr>
        <w:t>₹</w:t>
      </w:r>
      <w:r>
        <w:rPr>
          <w:rFonts w:ascii="Garamond" w:hAnsi="Garamond" w:cs="Arial"/>
          <w:bCs/>
          <w:sz w:val="24"/>
          <w:szCs w:val="24"/>
        </w:rPr>
        <w:t>0.8 crore (+ 53.7 per cent) in September 2019. Out of the five permitted commodities, trading took place in guarseed and chana options contracts during the month.</w:t>
      </w:r>
    </w:p>
    <w:p w:rsidR="00146D0E" w:rsidRDefault="00146D0E" w:rsidP="00146D0E">
      <w:pPr>
        <w:pStyle w:val="ListParagraph"/>
        <w:spacing w:after="0" w:line="240" w:lineRule="auto"/>
        <w:ind w:left="0"/>
        <w:jc w:val="both"/>
        <w:rPr>
          <w:rFonts w:ascii="Garamond" w:hAnsi="Garamond" w:cs="Arial"/>
          <w:bCs/>
          <w:sz w:val="24"/>
          <w:szCs w:val="24"/>
        </w:rPr>
      </w:pPr>
    </w:p>
    <w:p w:rsidR="00146D0E" w:rsidRDefault="00146D0E" w:rsidP="00146D0E">
      <w:pPr>
        <w:pStyle w:val="ListParagraph"/>
        <w:numPr>
          <w:ilvl w:val="0"/>
          <w:numId w:val="27"/>
        </w:numPr>
        <w:spacing w:after="0" w:line="240" w:lineRule="auto"/>
        <w:ind w:left="360"/>
        <w:jc w:val="both"/>
        <w:rPr>
          <w:rFonts w:ascii="Garamond" w:hAnsi="Garamond" w:cs="Arial"/>
          <w:bCs/>
          <w:sz w:val="24"/>
          <w:szCs w:val="24"/>
        </w:rPr>
      </w:pPr>
      <w:r>
        <w:rPr>
          <w:rFonts w:ascii="Garamond" w:hAnsi="Garamond" w:cs="Arial"/>
          <w:bCs/>
          <w:sz w:val="24"/>
          <w:szCs w:val="24"/>
        </w:rPr>
        <w:t xml:space="preserve">In September 2019, turnover at ICEX decreased significantly by 33.1 per cent to ₹1,761 crore due to decrease in traded value </w:t>
      </w:r>
      <w:r w:rsidRPr="00B26094">
        <w:rPr>
          <w:rFonts w:ascii="Garamond" w:hAnsi="Garamond" w:cs="Arial"/>
          <w:bCs/>
          <w:sz w:val="24"/>
          <w:szCs w:val="24"/>
        </w:rPr>
        <w:t>of gems and stone</w:t>
      </w:r>
      <w:r>
        <w:rPr>
          <w:rFonts w:ascii="Garamond" w:hAnsi="Garamond" w:cs="Arial"/>
          <w:bCs/>
          <w:sz w:val="24"/>
          <w:szCs w:val="24"/>
        </w:rPr>
        <w:t xml:space="preserve">, metal (steel long) and agri. </w:t>
      </w:r>
      <w:r w:rsidRPr="00B26094">
        <w:rPr>
          <w:rFonts w:ascii="Garamond" w:hAnsi="Garamond" w:cs="Arial"/>
          <w:bCs/>
          <w:sz w:val="24"/>
          <w:szCs w:val="24"/>
        </w:rPr>
        <w:t>segment</w:t>
      </w:r>
      <w:r>
        <w:rPr>
          <w:rFonts w:ascii="Garamond" w:hAnsi="Garamond" w:cs="Arial"/>
          <w:bCs/>
          <w:sz w:val="24"/>
          <w:szCs w:val="24"/>
        </w:rPr>
        <w:t>s</w:t>
      </w:r>
      <w:r w:rsidRPr="000D224A">
        <w:rPr>
          <w:rFonts w:ascii="Garamond" w:hAnsi="Garamond" w:cs="Arial"/>
          <w:bCs/>
          <w:sz w:val="24"/>
          <w:szCs w:val="24"/>
        </w:rPr>
        <w:t xml:space="preserve"> by </w:t>
      </w:r>
      <w:r>
        <w:rPr>
          <w:rFonts w:ascii="Garamond" w:hAnsi="Garamond" w:cs="Arial"/>
          <w:bCs/>
          <w:sz w:val="24"/>
          <w:szCs w:val="24"/>
        </w:rPr>
        <w:t>40.8</w:t>
      </w:r>
      <w:r w:rsidRPr="000D224A">
        <w:rPr>
          <w:rFonts w:ascii="Garamond" w:hAnsi="Garamond" w:cs="Arial"/>
          <w:bCs/>
          <w:sz w:val="24"/>
          <w:szCs w:val="24"/>
        </w:rPr>
        <w:t xml:space="preserve"> per cent</w:t>
      </w:r>
      <w:r>
        <w:rPr>
          <w:rFonts w:ascii="Garamond" w:hAnsi="Garamond" w:cs="Arial"/>
          <w:bCs/>
          <w:sz w:val="24"/>
          <w:szCs w:val="24"/>
        </w:rPr>
        <w:t>, 27.8</w:t>
      </w:r>
      <w:r w:rsidRPr="000D224A">
        <w:rPr>
          <w:rFonts w:ascii="Garamond" w:hAnsi="Garamond" w:cs="Arial"/>
          <w:bCs/>
          <w:sz w:val="24"/>
          <w:szCs w:val="24"/>
        </w:rPr>
        <w:t xml:space="preserve"> per cent </w:t>
      </w:r>
      <w:r>
        <w:rPr>
          <w:rFonts w:ascii="Garamond" w:hAnsi="Garamond" w:cs="Arial"/>
          <w:bCs/>
          <w:sz w:val="24"/>
          <w:szCs w:val="24"/>
        </w:rPr>
        <w:t xml:space="preserve">and 23.5 per cent </w:t>
      </w:r>
      <w:r w:rsidRPr="000D224A">
        <w:rPr>
          <w:rFonts w:ascii="Garamond" w:hAnsi="Garamond" w:cs="Arial"/>
          <w:bCs/>
          <w:sz w:val="24"/>
          <w:szCs w:val="24"/>
        </w:rPr>
        <w:t>respectively.</w:t>
      </w:r>
      <w:r>
        <w:rPr>
          <w:rFonts w:ascii="Garamond" w:hAnsi="Garamond" w:cs="Arial"/>
          <w:bCs/>
          <w:sz w:val="24"/>
          <w:szCs w:val="24"/>
        </w:rPr>
        <w:t xml:space="preserve"> Traded value of gems and stone segment declined significantly from ₹1,331 crore to ₹788 crore in September.</w:t>
      </w:r>
    </w:p>
    <w:p w:rsidR="00146D0E" w:rsidRDefault="00146D0E" w:rsidP="00146D0E">
      <w:pPr>
        <w:pStyle w:val="ListParagraph"/>
        <w:spacing w:after="0" w:line="240" w:lineRule="auto"/>
        <w:ind w:left="0"/>
        <w:jc w:val="both"/>
        <w:rPr>
          <w:rFonts w:ascii="Garamond" w:hAnsi="Garamond" w:cs="Arial"/>
          <w:bCs/>
          <w:sz w:val="24"/>
          <w:szCs w:val="24"/>
        </w:rPr>
      </w:pPr>
    </w:p>
    <w:p w:rsidR="00146D0E" w:rsidRDefault="00146D0E" w:rsidP="00146D0E">
      <w:pPr>
        <w:pStyle w:val="ListParagraph"/>
        <w:numPr>
          <w:ilvl w:val="0"/>
          <w:numId w:val="27"/>
        </w:numPr>
        <w:spacing w:after="0" w:line="240" w:lineRule="auto"/>
        <w:ind w:left="360"/>
        <w:jc w:val="both"/>
        <w:rPr>
          <w:rFonts w:ascii="Garamond" w:hAnsi="Garamond" w:cs="Arial"/>
          <w:bCs/>
          <w:sz w:val="24"/>
          <w:szCs w:val="24"/>
        </w:rPr>
      </w:pPr>
      <w:r>
        <w:rPr>
          <w:rFonts w:ascii="Garamond" w:hAnsi="Garamond" w:cs="Arial"/>
          <w:bCs/>
          <w:sz w:val="24"/>
          <w:szCs w:val="24"/>
        </w:rPr>
        <w:t xml:space="preserve">Following the similar trend, the total turnover at BSE and NSE decreased by 22.1 per cent and 37.2 per cent respectively. Turnover in BSE decreased due to significant decline in volume and traded value in agri. segment by 16.3 per cent and 24.8 per cent respectively. At NSE, turnover decreased in both bullion and energy segments by 37.7 per cent and 29.8 per cent respectively </w:t>
      </w:r>
    </w:p>
    <w:p w:rsidR="00146D0E" w:rsidRDefault="00146D0E" w:rsidP="00146D0E">
      <w:pPr>
        <w:pStyle w:val="ListParagraph"/>
        <w:spacing w:after="0" w:line="240" w:lineRule="auto"/>
        <w:ind w:left="0"/>
        <w:jc w:val="both"/>
        <w:rPr>
          <w:rFonts w:ascii="Garamond" w:hAnsi="Garamond" w:cs="Arial"/>
          <w:bCs/>
          <w:sz w:val="24"/>
          <w:szCs w:val="24"/>
        </w:rPr>
      </w:pPr>
    </w:p>
    <w:p w:rsidR="00146D0E" w:rsidRDefault="00146D0E" w:rsidP="00146D0E">
      <w:pPr>
        <w:pStyle w:val="ListParagraph"/>
        <w:numPr>
          <w:ilvl w:val="0"/>
          <w:numId w:val="27"/>
        </w:numPr>
        <w:spacing w:after="0" w:line="240" w:lineRule="auto"/>
        <w:ind w:left="360"/>
        <w:jc w:val="both"/>
        <w:rPr>
          <w:rFonts w:ascii="Garamond" w:hAnsi="Garamond" w:cs="Arial"/>
          <w:bCs/>
          <w:sz w:val="24"/>
          <w:szCs w:val="24"/>
        </w:rPr>
      </w:pPr>
      <w:r w:rsidRPr="002D0B6A">
        <w:rPr>
          <w:rFonts w:ascii="Garamond" w:hAnsi="Garamond" w:cs="Arial"/>
          <w:bCs/>
          <w:sz w:val="24"/>
          <w:szCs w:val="24"/>
        </w:rPr>
        <w:t>The turnover of agricultural and non-agricultural commodities at exchanges is shown in Figures 1</w:t>
      </w:r>
      <w:r>
        <w:rPr>
          <w:rFonts w:ascii="Garamond" w:hAnsi="Garamond" w:cs="Arial"/>
          <w:bCs/>
          <w:sz w:val="24"/>
          <w:szCs w:val="24"/>
        </w:rPr>
        <w:t>5</w:t>
      </w:r>
      <w:r w:rsidRPr="002D0B6A">
        <w:rPr>
          <w:rFonts w:ascii="Garamond" w:hAnsi="Garamond" w:cs="Arial"/>
          <w:bCs/>
          <w:sz w:val="24"/>
          <w:szCs w:val="24"/>
        </w:rPr>
        <w:t>, 1</w:t>
      </w:r>
      <w:r>
        <w:rPr>
          <w:rFonts w:ascii="Garamond" w:hAnsi="Garamond" w:cs="Arial"/>
          <w:bCs/>
          <w:sz w:val="24"/>
          <w:szCs w:val="24"/>
        </w:rPr>
        <w:t>6</w:t>
      </w:r>
      <w:r w:rsidRPr="002D0B6A">
        <w:rPr>
          <w:rFonts w:ascii="Garamond" w:hAnsi="Garamond" w:cs="Arial"/>
          <w:bCs/>
          <w:sz w:val="24"/>
          <w:szCs w:val="24"/>
        </w:rPr>
        <w:t xml:space="preserve"> and the details </w:t>
      </w:r>
      <w:r>
        <w:rPr>
          <w:rFonts w:ascii="Garamond" w:hAnsi="Garamond" w:cs="Arial"/>
          <w:bCs/>
          <w:sz w:val="24"/>
          <w:szCs w:val="24"/>
        </w:rPr>
        <w:t xml:space="preserve">are given </w:t>
      </w:r>
      <w:r w:rsidRPr="002D0B6A">
        <w:rPr>
          <w:rFonts w:ascii="Garamond" w:hAnsi="Garamond" w:cs="Arial"/>
          <w:bCs/>
          <w:sz w:val="24"/>
          <w:szCs w:val="24"/>
        </w:rPr>
        <w:t>in Tables 6</w:t>
      </w:r>
      <w:r>
        <w:rPr>
          <w:rFonts w:ascii="Garamond" w:hAnsi="Garamond" w:cs="Arial"/>
          <w:bCs/>
          <w:sz w:val="24"/>
          <w:szCs w:val="24"/>
        </w:rPr>
        <w:t>6</w:t>
      </w:r>
      <w:r w:rsidRPr="002D0B6A">
        <w:rPr>
          <w:rFonts w:ascii="Garamond" w:hAnsi="Garamond" w:cs="Arial"/>
          <w:bCs/>
          <w:sz w:val="24"/>
          <w:szCs w:val="24"/>
        </w:rPr>
        <w:t xml:space="preserve"> to 7</w:t>
      </w:r>
      <w:r>
        <w:rPr>
          <w:rFonts w:ascii="Garamond" w:hAnsi="Garamond" w:cs="Arial"/>
          <w:bCs/>
          <w:sz w:val="24"/>
          <w:szCs w:val="24"/>
        </w:rPr>
        <w:t>0</w:t>
      </w:r>
      <w:r w:rsidRPr="002D0B6A">
        <w:rPr>
          <w:rFonts w:ascii="Garamond" w:hAnsi="Garamond" w:cs="Arial"/>
          <w:bCs/>
          <w:sz w:val="24"/>
          <w:szCs w:val="24"/>
        </w:rPr>
        <w:t>.</w:t>
      </w:r>
    </w:p>
    <w:p w:rsidR="00146D0E" w:rsidRDefault="00146D0E" w:rsidP="00146D0E">
      <w:pPr>
        <w:pStyle w:val="ListParagraph"/>
        <w:spacing w:after="0" w:line="240" w:lineRule="auto"/>
        <w:jc w:val="center"/>
        <w:rPr>
          <w:rFonts w:ascii="Garamond" w:hAnsi="Garamond" w:cs="Arial"/>
          <w:b/>
          <w:bCs/>
          <w:color w:val="2E74B5" w:themeColor="accent1" w:themeShade="BF"/>
          <w:sz w:val="24"/>
          <w:szCs w:val="24"/>
        </w:rPr>
      </w:pPr>
    </w:p>
    <w:p w:rsidR="00146D0E" w:rsidRDefault="00146D0E" w:rsidP="00146D0E">
      <w:pPr>
        <w:pStyle w:val="ListParagraph"/>
        <w:spacing w:after="0" w:line="240" w:lineRule="auto"/>
        <w:jc w:val="center"/>
        <w:rPr>
          <w:rFonts w:ascii="Garamond" w:hAnsi="Garamond" w:cs="Arial"/>
          <w:b/>
          <w:bCs/>
          <w:color w:val="2E74B5" w:themeColor="accent1" w:themeShade="BF"/>
          <w:sz w:val="24"/>
          <w:szCs w:val="24"/>
        </w:rPr>
      </w:pPr>
    </w:p>
    <w:p w:rsidR="00146D0E" w:rsidRDefault="00146D0E" w:rsidP="00146D0E">
      <w:pPr>
        <w:pStyle w:val="ListParagraph"/>
        <w:spacing w:after="0" w:line="240" w:lineRule="auto"/>
        <w:jc w:val="center"/>
        <w:rPr>
          <w:rFonts w:ascii="Garamond" w:hAnsi="Garamond" w:cs="Arial"/>
          <w:b/>
          <w:bCs/>
          <w:color w:val="2E74B5" w:themeColor="accent1" w:themeShade="BF"/>
          <w:sz w:val="24"/>
          <w:szCs w:val="24"/>
        </w:rPr>
      </w:pPr>
      <w:r w:rsidRPr="00770C00">
        <w:rPr>
          <w:rFonts w:ascii="Garamond" w:hAnsi="Garamond" w:cs="Arial"/>
          <w:b/>
          <w:bCs/>
          <w:color w:val="2E74B5" w:themeColor="accent1" w:themeShade="BF"/>
          <w:sz w:val="24"/>
          <w:szCs w:val="24"/>
        </w:rPr>
        <w:t>Figure 1</w:t>
      </w:r>
      <w:r>
        <w:rPr>
          <w:rFonts w:ascii="Garamond" w:hAnsi="Garamond" w:cs="Arial"/>
          <w:b/>
          <w:bCs/>
          <w:color w:val="2E74B5" w:themeColor="accent1" w:themeShade="BF"/>
          <w:sz w:val="24"/>
          <w:szCs w:val="24"/>
        </w:rPr>
        <w:t>5</w:t>
      </w:r>
      <w:r w:rsidRPr="00770C00">
        <w:rPr>
          <w:rFonts w:ascii="Garamond" w:hAnsi="Garamond" w:cs="Arial"/>
          <w:b/>
          <w:bCs/>
          <w:color w:val="2E74B5" w:themeColor="accent1" w:themeShade="BF"/>
          <w:sz w:val="24"/>
          <w:szCs w:val="24"/>
        </w:rPr>
        <w:t xml:space="preserve">: Trends in </w:t>
      </w:r>
      <w:r>
        <w:rPr>
          <w:rFonts w:ascii="Garamond" w:hAnsi="Garamond" w:cs="Arial"/>
          <w:b/>
          <w:bCs/>
          <w:color w:val="2E74B5" w:themeColor="accent1" w:themeShade="BF"/>
          <w:sz w:val="24"/>
          <w:szCs w:val="24"/>
        </w:rPr>
        <w:t>t</w:t>
      </w:r>
      <w:r w:rsidRPr="00770C00">
        <w:rPr>
          <w:rFonts w:ascii="Garamond" w:hAnsi="Garamond" w:cs="Arial"/>
          <w:b/>
          <w:bCs/>
          <w:color w:val="2E74B5" w:themeColor="accent1" w:themeShade="BF"/>
          <w:sz w:val="24"/>
          <w:szCs w:val="24"/>
        </w:rPr>
        <w:t xml:space="preserve">urnover of </w:t>
      </w:r>
      <w:r>
        <w:rPr>
          <w:rFonts w:ascii="Garamond" w:hAnsi="Garamond" w:cs="Arial"/>
          <w:b/>
          <w:bCs/>
          <w:color w:val="2E74B5" w:themeColor="accent1" w:themeShade="BF"/>
          <w:sz w:val="24"/>
          <w:szCs w:val="24"/>
        </w:rPr>
        <w:t>a</w:t>
      </w:r>
      <w:r w:rsidRPr="00770C00">
        <w:rPr>
          <w:rFonts w:ascii="Garamond" w:hAnsi="Garamond" w:cs="Arial"/>
          <w:b/>
          <w:bCs/>
          <w:color w:val="2E74B5" w:themeColor="accent1" w:themeShade="BF"/>
          <w:sz w:val="24"/>
          <w:szCs w:val="24"/>
        </w:rPr>
        <w:t xml:space="preserve">gricultural </w:t>
      </w:r>
      <w:r>
        <w:rPr>
          <w:rFonts w:ascii="Garamond" w:hAnsi="Garamond" w:cs="Arial"/>
          <w:b/>
          <w:bCs/>
          <w:color w:val="2E74B5" w:themeColor="accent1" w:themeShade="BF"/>
          <w:sz w:val="24"/>
          <w:szCs w:val="24"/>
        </w:rPr>
        <w:t>c</w:t>
      </w:r>
      <w:r w:rsidRPr="00770C00">
        <w:rPr>
          <w:rFonts w:ascii="Garamond" w:hAnsi="Garamond" w:cs="Arial"/>
          <w:b/>
          <w:bCs/>
          <w:color w:val="2E74B5" w:themeColor="accent1" w:themeShade="BF"/>
          <w:sz w:val="24"/>
          <w:szCs w:val="24"/>
        </w:rPr>
        <w:t xml:space="preserve">ommodity </w:t>
      </w:r>
      <w:r>
        <w:rPr>
          <w:rFonts w:ascii="Garamond" w:hAnsi="Garamond" w:cs="Arial"/>
          <w:b/>
          <w:bCs/>
          <w:color w:val="2E74B5" w:themeColor="accent1" w:themeShade="BF"/>
          <w:sz w:val="24"/>
          <w:szCs w:val="24"/>
        </w:rPr>
        <w:t>d</w:t>
      </w:r>
      <w:r w:rsidRPr="00770C00">
        <w:rPr>
          <w:rFonts w:ascii="Garamond" w:hAnsi="Garamond" w:cs="Arial"/>
          <w:b/>
          <w:bCs/>
          <w:color w:val="2E74B5" w:themeColor="accent1" w:themeShade="BF"/>
          <w:sz w:val="24"/>
          <w:szCs w:val="24"/>
        </w:rPr>
        <w:t>erivatives (</w:t>
      </w:r>
      <w:r w:rsidRPr="00770C00">
        <w:rPr>
          <w:rFonts w:ascii="Tahoma" w:hAnsi="Tahoma" w:cs="Tahoma"/>
          <w:b/>
          <w:bCs/>
          <w:color w:val="2E74B5" w:themeColor="accent1" w:themeShade="BF"/>
          <w:sz w:val="24"/>
          <w:szCs w:val="24"/>
        </w:rPr>
        <w:t>₹</w:t>
      </w:r>
      <w:r w:rsidRPr="00770C00">
        <w:rPr>
          <w:rFonts w:ascii="Garamond" w:hAnsi="Garamond" w:cs="Arial"/>
          <w:b/>
          <w:bCs/>
          <w:color w:val="2E74B5" w:themeColor="accent1" w:themeShade="BF"/>
          <w:sz w:val="24"/>
          <w:szCs w:val="24"/>
        </w:rPr>
        <w:t>crore)</w:t>
      </w:r>
    </w:p>
    <w:p w:rsidR="00146D0E" w:rsidRDefault="00146D0E" w:rsidP="00146D0E">
      <w:pPr>
        <w:pStyle w:val="ListParagraph"/>
        <w:spacing w:after="0" w:line="240" w:lineRule="auto"/>
        <w:jc w:val="center"/>
        <w:rPr>
          <w:rFonts w:ascii="Garamond" w:hAnsi="Garamond" w:cs="Arial"/>
          <w:b/>
          <w:bCs/>
          <w:color w:val="2E74B5" w:themeColor="accent1" w:themeShade="BF"/>
          <w:sz w:val="24"/>
          <w:szCs w:val="24"/>
        </w:rPr>
      </w:pPr>
    </w:p>
    <w:p w:rsidR="00146D0E" w:rsidRDefault="00146D0E" w:rsidP="00146D0E">
      <w:pPr>
        <w:tabs>
          <w:tab w:val="left" w:pos="8647"/>
        </w:tabs>
        <w:ind w:right="686"/>
        <w:rPr>
          <w:rFonts w:ascii="Garamond" w:hAnsi="Garamond" w:cs="Arial"/>
          <w:color w:val="262626" w:themeColor="text1" w:themeTint="D9"/>
        </w:rPr>
      </w:pPr>
      <w:r>
        <w:rPr>
          <w:noProof/>
          <w:lang w:val="en-US" w:bidi="hi-IN"/>
        </w:rPr>
        <w:drawing>
          <wp:inline distT="0" distB="0" distL="0" distR="0" wp14:anchorId="09F0F2A3" wp14:editId="7B99164D">
            <wp:extent cx="5926455" cy="2633980"/>
            <wp:effectExtent l="0" t="0" r="17145"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46D0E" w:rsidRDefault="00146D0E" w:rsidP="00146D0E">
      <w:pPr>
        <w:ind w:left="709"/>
        <w:rPr>
          <w:rFonts w:ascii="Garamond" w:hAnsi="Garamond"/>
          <w:b/>
          <w:color w:val="0D0D0D" w:themeColor="text1" w:themeTint="F2"/>
          <w:sz w:val="18"/>
          <w:szCs w:val="18"/>
        </w:rPr>
      </w:pPr>
    </w:p>
    <w:p w:rsidR="00146D0E" w:rsidRPr="006F5E9D" w:rsidRDefault="00146D0E" w:rsidP="00146D0E">
      <w:pPr>
        <w:ind w:left="709"/>
        <w:rPr>
          <w:rFonts w:ascii="Garamond" w:hAnsi="Garamond"/>
          <w:b/>
          <w:color w:val="0D0D0D" w:themeColor="text1" w:themeTint="F2"/>
          <w:sz w:val="18"/>
          <w:szCs w:val="18"/>
        </w:rPr>
      </w:pPr>
      <w:r w:rsidRPr="006B2049">
        <w:rPr>
          <w:rFonts w:ascii="Garamond" w:hAnsi="Garamond"/>
          <w:b/>
          <w:color w:val="0D0D0D" w:themeColor="text1" w:themeTint="F2"/>
          <w:sz w:val="18"/>
          <w:szCs w:val="18"/>
        </w:rPr>
        <w:t>Source: MCX, NCDEX</w:t>
      </w:r>
      <w:r>
        <w:rPr>
          <w:rFonts w:ascii="Garamond" w:hAnsi="Garamond"/>
          <w:b/>
          <w:color w:val="0D0D0D" w:themeColor="text1" w:themeTint="F2"/>
          <w:sz w:val="18"/>
          <w:szCs w:val="18"/>
        </w:rPr>
        <w:t>, BSE</w:t>
      </w:r>
      <w:r w:rsidRPr="006B2049">
        <w:rPr>
          <w:rFonts w:ascii="Garamond" w:hAnsi="Garamond"/>
          <w:b/>
          <w:color w:val="0D0D0D" w:themeColor="text1" w:themeTint="F2"/>
          <w:sz w:val="18"/>
          <w:szCs w:val="18"/>
        </w:rPr>
        <w:t xml:space="preserve"> &amp; ICEX</w:t>
      </w:r>
    </w:p>
    <w:p w:rsidR="00146D0E" w:rsidRDefault="00146D0E" w:rsidP="00146D0E">
      <w:pPr>
        <w:spacing w:after="160" w:line="259" w:lineRule="auto"/>
        <w:rPr>
          <w:rFonts w:ascii="Garamond" w:hAnsi="Garamond"/>
          <w:b/>
          <w:color w:val="365F91"/>
        </w:rPr>
      </w:pPr>
    </w:p>
    <w:p w:rsidR="00146D0E" w:rsidRDefault="00146D0E" w:rsidP="00146D0E">
      <w:pPr>
        <w:spacing w:after="160" w:line="259" w:lineRule="auto"/>
        <w:rPr>
          <w:rFonts w:ascii="Garamond" w:hAnsi="Garamond"/>
          <w:b/>
          <w:color w:val="365F91"/>
        </w:rPr>
      </w:pPr>
    </w:p>
    <w:p w:rsidR="00146D0E" w:rsidRDefault="00146D0E" w:rsidP="00146D0E">
      <w:pPr>
        <w:spacing w:after="160" w:line="259" w:lineRule="auto"/>
        <w:rPr>
          <w:rFonts w:ascii="Garamond" w:hAnsi="Garamond"/>
          <w:b/>
          <w:color w:val="365F91"/>
        </w:rPr>
      </w:pPr>
    </w:p>
    <w:p w:rsidR="00146D0E" w:rsidRDefault="00146D0E" w:rsidP="00146D0E">
      <w:pPr>
        <w:spacing w:after="160" w:line="259" w:lineRule="auto"/>
        <w:rPr>
          <w:rFonts w:ascii="Garamond" w:hAnsi="Garamond"/>
          <w:b/>
          <w:color w:val="365F91"/>
        </w:rPr>
      </w:pPr>
    </w:p>
    <w:p w:rsidR="00146D0E" w:rsidRDefault="00146D0E" w:rsidP="00146D0E">
      <w:pPr>
        <w:spacing w:after="160" w:line="259" w:lineRule="auto"/>
        <w:rPr>
          <w:rFonts w:ascii="Garamond" w:hAnsi="Garamond"/>
          <w:b/>
          <w:color w:val="365F91"/>
        </w:rPr>
      </w:pPr>
    </w:p>
    <w:p w:rsidR="00146D0E" w:rsidRDefault="00146D0E" w:rsidP="00146D0E">
      <w:pPr>
        <w:spacing w:after="160" w:line="259" w:lineRule="auto"/>
        <w:rPr>
          <w:noProof/>
          <w:lang w:val="en-IN" w:eastAsia="en-IN"/>
        </w:rPr>
      </w:pPr>
      <w:r>
        <w:rPr>
          <w:rFonts w:ascii="Garamond" w:hAnsi="Garamond"/>
          <w:b/>
          <w:color w:val="365F91"/>
        </w:rPr>
        <w:t xml:space="preserve">Figure 16: Trends in turnover of non-agricultural commodity derivatives </w:t>
      </w:r>
      <w:r w:rsidRPr="001C6494">
        <w:rPr>
          <w:rFonts w:ascii="Garamond" w:hAnsi="Garamond"/>
          <w:b/>
          <w:color w:val="365F91"/>
        </w:rPr>
        <w:t>- futures and options</w:t>
      </w:r>
      <w:r>
        <w:rPr>
          <w:rFonts w:ascii="Garamond" w:hAnsi="Garamond"/>
          <w:b/>
          <w:color w:val="365F91"/>
        </w:rPr>
        <w:t xml:space="preserve"> </w:t>
      </w:r>
    </w:p>
    <w:p w:rsidR="00146D0E" w:rsidRPr="00BE6A1C" w:rsidRDefault="00146D0E" w:rsidP="00146D0E">
      <w:pPr>
        <w:spacing w:after="160" w:line="259" w:lineRule="auto"/>
        <w:rPr>
          <w:rFonts w:ascii="Garamond" w:hAnsi="Garamond"/>
          <w:b/>
          <w:color w:val="0D0D0D" w:themeColor="text1" w:themeTint="F2"/>
          <w:sz w:val="18"/>
          <w:szCs w:val="18"/>
        </w:rPr>
      </w:pPr>
      <w:r>
        <w:rPr>
          <w:noProof/>
          <w:lang w:val="en-US" w:bidi="hi-IN"/>
        </w:rPr>
        <w:lastRenderedPageBreak/>
        <w:drawing>
          <wp:inline distT="0" distB="0" distL="0" distR="0" wp14:anchorId="3AF985EE" wp14:editId="1193BBFA">
            <wp:extent cx="5926455" cy="3486785"/>
            <wp:effectExtent l="0" t="0" r="17145"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46D0E" w:rsidRPr="00E5108B" w:rsidRDefault="00146D0E" w:rsidP="00146D0E">
      <w:pPr>
        <w:spacing w:line="259" w:lineRule="auto"/>
        <w:rPr>
          <w:rFonts w:ascii="Garamond" w:hAnsi="Garamond"/>
          <w:b/>
          <w:color w:val="0D0D0D" w:themeColor="text1" w:themeTint="F2"/>
          <w:sz w:val="20"/>
          <w:szCs w:val="20"/>
        </w:rPr>
      </w:pPr>
      <w:r w:rsidRPr="00BE6A1C">
        <w:rPr>
          <w:rFonts w:ascii="Garamond" w:hAnsi="Garamond"/>
          <w:b/>
          <w:color w:val="0D0D0D" w:themeColor="text1" w:themeTint="F2"/>
          <w:sz w:val="18"/>
          <w:szCs w:val="18"/>
        </w:rPr>
        <w:t>Source: MCX, ICEX, BSE &amp; NSE</w:t>
      </w:r>
      <w:r>
        <w:rPr>
          <w:rFonts w:ascii="Garamond" w:hAnsi="Garamond"/>
          <w:b/>
          <w:color w:val="0D0D0D" w:themeColor="text1" w:themeTint="F2"/>
          <w:sz w:val="20"/>
          <w:szCs w:val="20"/>
        </w:rPr>
        <w:t xml:space="preserve">. </w:t>
      </w:r>
      <w:r w:rsidRPr="00E5108B">
        <w:rPr>
          <w:rFonts w:ascii="Garamond" w:hAnsi="Garamond"/>
          <w:b/>
          <w:color w:val="0D0D0D" w:themeColor="text1" w:themeTint="F2"/>
          <w:sz w:val="20"/>
          <w:szCs w:val="20"/>
        </w:rPr>
        <w:t>Note:-V</w:t>
      </w:r>
      <w:r>
        <w:rPr>
          <w:rFonts w:ascii="Garamond" w:hAnsi="Garamond"/>
          <w:b/>
          <w:color w:val="0D0D0D" w:themeColor="text1" w:themeTint="F2"/>
          <w:sz w:val="20"/>
          <w:szCs w:val="20"/>
        </w:rPr>
        <w:t xml:space="preserve">alues represented </w:t>
      </w:r>
      <w:r w:rsidRPr="00E5108B">
        <w:rPr>
          <w:rFonts w:ascii="Garamond" w:hAnsi="Garamond"/>
          <w:b/>
          <w:color w:val="0D0D0D" w:themeColor="text1" w:themeTint="F2"/>
          <w:sz w:val="20"/>
          <w:szCs w:val="20"/>
        </w:rPr>
        <w:t xml:space="preserve">on the </w:t>
      </w:r>
      <w:r>
        <w:rPr>
          <w:rFonts w:ascii="Garamond" w:hAnsi="Garamond"/>
          <w:b/>
          <w:color w:val="0D0D0D" w:themeColor="text1" w:themeTint="F2"/>
          <w:sz w:val="20"/>
          <w:szCs w:val="20"/>
        </w:rPr>
        <w:t xml:space="preserve">top of the </w:t>
      </w:r>
      <w:r w:rsidRPr="00E5108B">
        <w:rPr>
          <w:rFonts w:ascii="Garamond" w:hAnsi="Garamond"/>
          <w:b/>
          <w:color w:val="0D0D0D" w:themeColor="text1" w:themeTint="F2"/>
          <w:sz w:val="20"/>
          <w:szCs w:val="20"/>
        </w:rPr>
        <w:t xml:space="preserve">bars </w:t>
      </w:r>
      <w:r>
        <w:rPr>
          <w:rFonts w:ascii="Garamond" w:hAnsi="Garamond"/>
          <w:b/>
          <w:color w:val="0D0D0D" w:themeColor="text1" w:themeTint="F2"/>
          <w:sz w:val="20"/>
          <w:szCs w:val="20"/>
        </w:rPr>
        <w:t>are respective monthly option turnover at MCX (in Rs.crore)</w:t>
      </w:r>
      <w:r w:rsidRPr="00E5108B">
        <w:rPr>
          <w:rFonts w:ascii="Garamond" w:hAnsi="Garamond"/>
          <w:b/>
          <w:color w:val="0D0D0D" w:themeColor="text1" w:themeTint="F2"/>
          <w:sz w:val="20"/>
          <w:szCs w:val="20"/>
        </w:rPr>
        <w:t xml:space="preserve">. </w:t>
      </w:r>
    </w:p>
    <w:p w:rsidR="00146D0E" w:rsidRDefault="00146D0E" w:rsidP="00146D0E">
      <w:pPr>
        <w:spacing w:after="160" w:line="259" w:lineRule="auto"/>
        <w:rPr>
          <w:rFonts w:ascii="Garamond" w:hAnsi="Garamond"/>
          <w:b/>
          <w:color w:val="0D0D0D" w:themeColor="text1" w:themeTint="F2"/>
          <w:sz w:val="18"/>
          <w:szCs w:val="18"/>
        </w:rPr>
      </w:pPr>
    </w:p>
    <w:p w:rsidR="002576F1" w:rsidRDefault="002576F1" w:rsidP="00146D0E">
      <w:pPr>
        <w:spacing w:after="160" w:line="259" w:lineRule="auto"/>
        <w:rPr>
          <w:rFonts w:ascii="Garamond" w:hAnsi="Garamond"/>
          <w:b/>
          <w:color w:val="0D0D0D" w:themeColor="text1" w:themeTint="F2"/>
          <w:sz w:val="18"/>
          <w:szCs w:val="18"/>
        </w:rPr>
      </w:pPr>
    </w:p>
    <w:p w:rsidR="0098446E" w:rsidRDefault="0098446E" w:rsidP="00146D0E">
      <w:pPr>
        <w:spacing w:after="160" w:line="259" w:lineRule="auto"/>
        <w:rPr>
          <w:rFonts w:ascii="Garamond" w:hAnsi="Garamond"/>
          <w:b/>
          <w:color w:val="0D0D0D" w:themeColor="text1" w:themeTint="F2"/>
          <w:sz w:val="18"/>
          <w:szCs w:val="18"/>
        </w:rPr>
      </w:pPr>
    </w:p>
    <w:p w:rsidR="0098446E" w:rsidRDefault="0098446E" w:rsidP="00146D0E">
      <w:pPr>
        <w:spacing w:after="160" w:line="259" w:lineRule="auto"/>
        <w:rPr>
          <w:rFonts w:ascii="Garamond" w:hAnsi="Garamond"/>
          <w:b/>
          <w:color w:val="0D0D0D" w:themeColor="text1" w:themeTint="F2"/>
          <w:sz w:val="18"/>
          <w:szCs w:val="18"/>
        </w:rPr>
      </w:pPr>
    </w:p>
    <w:p w:rsidR="0098446E" w:rsidRDefault="0098446E" w:rsidP="00146D0E">
      <w:pPr>
        <w:spacing w:after="160" w:line="259" w:lineRule="auto"/>
        <w:rPr>
          <w:rFonts w:ascii="Garamond" w:hAnsi="Garamond"/>
          <w:b/>
          <w:color w:val="0D0D0D" w:themeColor="text1" w:themeTint="F2"/>
          <w:sz w:val="18"/>
          <w:szCs w:val="18"/>
        </w:rPr>
      </w:pPr>
    </w:p>
    <w:p w:rsidR="0098446E" w:rsidRDefault="0098446E" w:rsidP="00146D0E">
      <w:pPr>
        <w:spacing w:after="160" w:line="259" w:lineRule="auto"/>
        <w:rPr>
          <w:rFonts w:ascii="Garamond" w:hAnsi="Garamond"/>
          <w:b/>
          <w:color w:val="0D0D0D" w:themeColor="text1" w:themeTint="F2"/>
          <w:sz w:val="18"/>
          <w:szCs w:val="18"/>
        </w:rPr>
      </w:pPr>
    </w:p>
    <w:p w:rsidR="0098446E" w:rsidRDefault="0098446E" w:rsidP="00146D0E">
      <w:pPr>
        <w:spacing w:after="160" w:line="259" w:lineRule="auto"/>
        <w:rPr>
          <w:rFonts w:ascii="Garamond" w:hAnsi="Garamond"/>
          <w:b/>
          <w:color w:val="0D0D0D" w:themeColor="text1" w:themeTint="F2"/>
          <w:sz w:val="18"/>
          <w:szCs w:val="18"/>
        </w:rPr>
      </w:pPr>
    </w:p>
    <w:p w:rsidR="0098446E" w:rsidRDefault="0098446E" w:rsidP="00146D0E">
      <w:pPr>
        <w:spacing w:after="160" w:line="259" w:lineRule="auto"/>
        <w:rPr>
          <w:rFonts w:ascii="Garamond" w:hAnsi="Garamond"/>
          <w:b/>
          <w:color w:val="0D0D0D" w:themeColor="text1" w:themeTint="F2"/>
          <w:sz w:val="18"/>
          <w:szCs w:val="18"/>
        </w:rPr>
      </w:pPr>
    </w:p>
    <w:p w:rsidR="0098446E" w:rsidRDefault="0098446E" w:rsidP="00146D0E">
      <w:pPr>
        <w:spacing w:after="160" w:line="259" w:lineRule="auto"/>
        <w:rPr>
          <w:rFonts w:ascii="Garamond" w:hAnsi="Garamond"/>
          <w:b/>
          <w:color w:val="0D0D0D" w:themeColor="text1" w:themeTint="F2"/>
          <w:sz w:val="18"/>
          <w:szCs w:val="18"/>
        </w:rPr>
      </w:pPr>
    </w:p>
    <w:p w:rsidR="0098446E" w:rsidRDefault="0098446E" w:rsidP="00146D0E">
      <w:pPr>
        <w:spacing w:after="160" w:line="259" w:lineRule="auto"/>
        <w:rPr>
          <w:rFonts w:ascii="Garamond" w:hAnsi="Garamond"/>
          <w:b/>
          <w:color w:val="0D0D0D" w:themeColor="text1" w:themeTint="F2"/>
          <w:sz w:val="18"/>
          <w:szCs w:val="18"/>
        </w:rPr>
      </w:pPr>
    </w:p>
    <w:p w:rsidR="0098446E" w:rsidRDefault="0098446E" w:rsidP="00146D0E">
      <w:pPr>
        <w:spacing w:after="160" w:line="259" w:lineRule="auto"/>
        <w:rPr>
          <w:rFonts w:ascii="Garamond" w:hAnsi="Garamond"/>
          <w:b/>
          <w:color w:val="0D0D0D" w:themeColor="text1" w:themeTint="F2"/>
          <w:sz w:val="18"/>
          <w:szCs w:val="18"/>
        </w:rPr>
      </w:pPr>
    </w:p>
    <w:p w:rsidR="0098446E" w:rsidRDefault="0098446E" w:rsidP="00146D0E">
      <w:pPr>
        <w:spacing w:after="160" w:line="259" w:lineRule="auto"/>
        <w:rPr>
          <w:rFonts w:ascii="Garamond" w:hAnsi="Garamond"/>
          <w:b/>
          <w:color w:val="0D0D0D" w:themeColor="text1" w:themeTint="F2"/>
          <w:sz w:val="18"/>
          <w:szCs w:val="18"/>
        </w:rPr>
      </w:pPr>
    </w:p>
    <w:p w:rsidR="0098446E" w:rsidRDefault="0098446E" w:rsidP="00146D0E">
      <w:pPr>
        <w:spacing w:after="160" w:line="259" w:lineRule="auto"/>
        <w:rPr>
          <w:rFonts w:ascii="Garamond" w:hAnsi="Garamond"/>
          <w:b/>
          <w:color w:val="0D0D0D" w:themeColor="text1" w:themeTint="F2"/>
          <w:sz w:val="18"/>
          <w:szCs w:val="18"/>
        </w:rPr>
      </w:pPr>
    </w:p>
    <w:p w:rsidR="0098446E" w:rsidRDefault="0098446E" w:rsidP="00146D0E">
      <w:pPr>
        <w:spacing w:after="160" w:line="259" w:lineRule="auto"/>
        <w:rPr>
          <w:rFonts w:ascii="Garamond" w:hAnsi="Garamond"/>
          <w:b/>
          <w:color w:val="0D0D0D" w:themeColor="text1" w:themeTint="F2"/>
          <w:sz w:val="18"/>
          <w:szCs w:val="18"/>
        </w:rPr>
      </w:pPr>
    </w:p>
    <w:p w:rsidR="0098446E" w:rsidRDefault="0098446E" w:rsidP="00146D0E">
      <w:pPr>
        <w:spacing w:after="160" w:line="259" w:lineRule="auto"/>
        <w:rPr>
          <w:rFonts w:ascii="Garamond" w:hAnsi="Garamond"/>
          <w:b/>
          <w:color w:val="0D0D0D" w:themeColor="text1" w:themeTint="F2"/>
          <w:sz w:val="18"/>
          <w:szCs w:val="18"/>
        </w:rPr>
      </w:pPr>
    </w:p>
    <w:p w:rsidR="0098446E" w:rsidRDefault="0098446E" w:rsidP="00146D0E">
      <w:pPr>
        <w:spacing w:after="160" w:line="259" w:lineRule="auto"/>
        <w:rPr>
          <w:rFonts w:ascii="Garamond" w:hAnsi="Garamond"/>
          <w:b/>
          <w:color w:val="0D0D0D" w:themeColor="text1" w:themeTint="F2"/>
          <w:sz w:val="18"/>
          <w:szCs w:val="18"/>
        </w:rPr>
      </w:pPr>
    </w:p>
    <w:p w:rsidR="0098446E" w:rsidRDefault="0098446E" w:rsidP="00146D0E">
      <w:pPr>
        <w:spacing w:after="160" w:line="259" w:lineRule="auto"/>
        <w:rPr>
          <w:rFonts w:ascii="Garamond" w:hAnsi="Garamond"/>
          <w:b/>
          <w:color w:val="0D0D0D" w:themeColor="text1" w:themeTint="F2"/>
          <w:sz w:val="18"/>
          <w:szCs w:val="18"/>
        </w:rPr>
      </w:pPr>
    </w:p>
    <w:p w:rsidR="002576F1" w:rsidRDefault="002576F1" w:rsidP="00146D0E">
      <w:pPr>
        <w:spacing w:after="160" w:line="259" w:lineRule="auto"/>
        <w:rPr>
          <w:rFonts w:ascii="Garamond" w:hAnsi="Garamond"/>
          <w:b/>
          <w:color w:val="0D0D0D" w:themeColor="text1" w:themeTint="F2"/>
          <w:sz w:val="18"/>
          <w:szCs w:val="18"/>
        </w:rPr>
      </w:pPr>
    </w:p>
    <w:p w:rsidR="00146D0E" w:rsidRDefault="00146D0E" w:rsidP="00146D0E">
      <w:pPr>
        <w:spacing w:after="160" w:line="259" w:lineRule="auto"/>
        <w:rPr>
          <w:rFonts w:ascii="Garamond" w:hAnsi="Garamond" w:cs="Arial"/>
        </w:rPr>
      </w:pPr>
      <w:r w:rsidRPr="00322D2F">
        <w:rPr>
          <w:rFonts w:ascii="Garamond" w:hAnsi="Garamond" w:cs="Arial"/>
        </w:rPr>
        <w:t xml:space="preserve">The following chart provides a snapshot of the </w:t>
      </w:r>
      <w:r>
        <w:rPr>
          <w:rFonts w:ascii="Garamond" w:hAnsi="Garamond" w:cs="Arial"/>
        </w:rPr>
        <w:t xml:space="preserve">percentage </w:t>
      </w:r>
      <w:r w:rsidRPr="00322D2F">
        <w:rPr>
          <w:rFonts w:ascii="Garamond" w:hAnsi="Garamond" w:cs="Arial"/>
        </w:rPr>
        <w:t xml:space="preserve">gain/loss in futures prices </w:t>
      </w:r>
      <w:r>
        <w:rPr>
          <w:rFonts w:ascii="Garamond" w:hAnsi="Garamond" w:cs="Arial"/>
        </w:rPr>
        <w:t>in</w:t>
      </w:r>
      <w:r w:rsidRPr="00322D2F">
        <w:rPr>
          <w:rFonts w:ascii="Garamond" w:hAnsi="Garamond" w:cs="Arial"/>
        </w:rPr>
        <w:t xml:space="preserve"> near month contracts of the commodities traded at the exchanges.</w:t>
      </w:r>
    </w:p>
    <w:p w:rsidR="00146D0E" w:rsidRDefault="00146D0E" w:rsidP="00146D0E">
      <w:pPr>
        <w:spacing w:after="160" w:line="259" w:lineRule="auto"/>
        <w:rPr>
          <w:noProof/>
          <w:lang w:val="en-IN" w:eastAsia="en-IN"/>
        </w:rPr>
      </w:pPr>
      <w:r>
        <w:rPr>
          <w:rFonts w:ascii="Garamond" w:hAnsi="Garamond" w:cs="Arial"/>
          <w:b/>
        </w:rPr>
        <w:t>Figure 17: Movement of Near Month futures prices (M-o-M) for commodities traded on domestic exchanges during September 2019 (per cent)</w:t>
      </w:r>
      <w:r w:rsidRPr="00494D46">
        <w:rPr>
          <w:noProof/>
          <w:lang w:val="en-IN" w:eastAsia="en-IN"/>
        </w:rPr>
        <w:t xml:space="preserve"> </w:t>
      </w:r>
    </w:p>
    <w:p w:rsidR="00146D0E" w:rsidRDefault="00146D0E" w:rsidP="00146D0E">
      <w:pPr>
        <w:spacing w:after="160" w:line="259" w:lineRule="auto"/>
        <w:rPr>
          <w:noProof/>
          <w:lang w:val="en-IN" w:eastAsia="en-IN"/>
        </w:rPr>
      </w:pPr>
    </w:p>
    <w:p w:rsidR="00146D0E" w:rsidRDefault="00146D0E" w:rsidP="00146D0E">
      <w:pPr>
        <w:spacing w:after="160" w:line="259" w:lineRule="auto"/>
        <w:rPr>
          <w:noProof/>
          <w:lang w:val="en-IN" w:eastAsia="en-IN"/>
        </w:rPr>
      </w:pPr>
      <w:r>
        <w:rPr>
          <w:noProof/>
          <w:lang w:val="en-US" w:bidi="hi-IN"/>
        </w:rPr>
        <w:lastRenderedPageBreak/>
        <w:drawing>
          <wp:inline distT="0" distB="0" distL="0" distR="0" wp14:anchorId="6B9F285B" wp14:editId="53DC1049">
            <wp:extent cx="5926455" cy="5496560"/>
            <wp:effectExtent l="0" t="0" r="17145"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46D0E" w:rsidRDefault="00146D0E" w:rsidP="00146D0E">
      <w:pPr>
        <w:spacing w:after="160" w:line="259" w:lineRule="auto"/>
        <w:rPr>
          <w:rFonts w:ascii="Garamond" w:hAnsi="Garamond" w:cs="Arial"/>
          <w:b/>
          <w:sz w:val="18"/>
          <w:szCs w:val="18"/>
        </w:rPr>
      </w:pPr>
      <w:r w:rsidRPr="006B2049">
        <w:rPr>
          <w:rFonts w:ascii="Garamond" w:hAnsi="Garamond" w:cs="Arial"/>
          <w:b/>
          <w:sz w:val="18"/>
          <w:szCs w:val="18"/>
        </w:rPr>
        <w:t>Source: MCX, NCDEX, ICEX, BSE and NSE</w:t>
      </w:r>
    </w:p>
    <w:p w:rsidR="00C55787" w:rsidRDefault="00C55787" w:rsidP="009271A2">
      <w:pPr>
        <w:tabs>
          <w:tab w:val="left" w:pos="8160"/>
        </w:tabs>
        <w:jc w:val="both"/>
        <w:rPr>
          <w:rFonts w:ascii="Palatino Linotype" w:hAnsi="Palatino Linotype"/>
          <w:b/>
          <w:sz w:val="22"/>
          <w:szCs w:val="22"/>
        </w:rPr>
      </w:pPr>
    </w:p>
    <w:p w:rsidR="00C55787" w:rsidRDefault="00C55787" w:rsidP="009271A2">
      <w:pPr>
        <w:tabs>
          <w:tab w:val="left" w:pos="8160"/>
        </w:tabs>
        <w:jc w:val="both"/>
        <w:rPr>
          <w:rFonts w:ascii="Palatino Linotype" w:hAnsi="Palatino Linotype"/>
          <w:b/>
          <w:sz w:val="22"/>
          <w:szCs w:val="22"/>
        </w:rPr>
      </w:pPr>
    </w:p>
    <w:p w:rsidR="00C55787" w:rsidRDefault="00C55787" w:rsidP="009271A2">
      <w:pPr>
        <w:tabs>
          <w:tab w:val="left" w:pos="8160"/>
        </w:tabs>
        <w:jc w:val="both"/>
        <w:rPr>
          <w:rFonts w:ascii="Palatino Linotype" w:hAnsi="Palatino Linotype"/>
          <w:b/>
          <w:sz w:val="22"/>
          <w:szCs w:val="22"/>
        </w:rPr>
      </w:pPr>
    </w:p>
    <w:p w:rsidR="00C55787" w:rsidRDefault="00C55787" w:rsidP="009271A2">
      <w:pPr>
        <w:tabs>
          <w:tab w:val="left" w:pos="8160"/>
        </w:tabs>
        <w:jc w:val="both"/>
        <w:rPr>
          <w:rFonts w:ascii="Palatino Linotype" w:hAnsi="Palatino Linotype"/>
          <w:b/>
          <w:sz w:val="22"/>
          <w:szCs w:val="22"/>
        </w:rPr>
      </w:pPr>
    </w:p>
    <w:p w:rsidR="00C55787" w:rsidRDefault="00C55787" w:rsidP="009271A2">
      <w:pPr>
        <w:tabs>
          <w:tab w:val="left" w:pos="8160"/>
        </w:tabs>
        <w:jc w:val="both"/>
        <w:rPr>
          <w:rFonts w:ascii="Palatino Linotype" w:hAnsi="Palatino Linotype"/>
          <w:b/>
          <w:sz w:val="22"/>
          <w:szCs w:val="22"/>
        </w:rPr>
      </w:pPr>
    </w:p>
    <w:p w:rsidR="00C55787" w:rsidRDefault="00C55787" w:rsidP="009271A2">
      <w:pPr>
        <w:tabs>
          <w:tab w:val="left" w:pos="8160"/>
        </w:tabs>
        <w:jc w:val="both"/>
        <w:rPr>
          <w:rFonts w:ascii="Palatino Linotype" w:hAnsi="Palatino Linotype"/>
          <w:b/>
          <w:sz w:val="22"/>
          <w:szCs w:val="22"/>
        </w:rPr>
      </w:pPr>
    </w:p>
    <w:p w:rsidR="00C55787" w:rsidRDefault="00C55787" w:rsidP="009271A2">
      <w:pPr>
        <w:tabs>
          <w:tab w:val="left" w:pos="8160"/>
        </w:tabs>
        <w:jc w:val="both"/>
        <w:rPr>
          <w:rFonts w:ascii="Palatino Linotype" w:hAnsi="Palatino Linotype"/>
          <w:b/>
          <w:sz w:val="22"/>
          <w:szCs w:val="22"/>
        </w:rPr>
      </w:pPr>
    </w:p>
    <w:p w:rsidR="00C55787" w:rsidRDefault="00C55787" w:rsidP="009271A2">
      <w:pPr>
        <w:tabs>
          <w:tab w:val="left" w:pos="8160"/>
        </w:tabs>
        <w:jc w:val="both"/>
        <w:rPr>
          <w:rFonts w:ascii="Palatino Linotype" w:hAnsi="Palatino Linotype"/>
          <w:b/>
          <w:sz w:val="22"/>
          <w:szCs w:val="22"/>
        </w:rPr>
      </w:pPr>
    </w:p>
    <w:p w:rsidR="00325395" w:rsidRDefault="00325395" w:rsidP="005456C0">
      <w:pPr>
        <w:jc w:val="center"/>
        <w:outlineLvl w:val="0"/>
        <w:rPr>
          <w:rFonts w:ascii="Palatino Linotype" w:hAnsi="Palatino Linotype" w:cs="Helvetica"/>
          <w:b/>
          <w:sz w:val="32"/>
          <w:szCs w:val="40"/>
        </w:rPr>
      </w:pPr>
    </w:p>
    <w:p w:rsidR="00E15592" w:rsidRDefault="00E15592" w:rsidP="005456C0">
      <w:pPr>
        <w:jc w:val="center"/>
        <w:outlineLvl w:val="0"/>
        <w:rPr>
          <w:rFonts w:ascii="Palatino Linotype" w:hAnsi="Palatino Linotype" w:cs="Helvetica"/>
          <w:b/>
          <w:sz w:val="32"/>
          <w:szCs w:val="40"/>
        </w:rPr>
      </w:pPr>
    </w:p>
    <w:p w:rsidR="00E15592" w:rsidRDefault="00E15592" w:rsidP="005456C0">
      <w:pPr>
        <w:jc w:val="center"/>
        <w:outlineLvl w:val="0"/>
        <w:rPr>
          <w:rFonts w:ascii="Palatino Linotype" w:hAnsi="Palatino Linotype" w:cs="Helvetica"/>
          <w:b/>
          <w:sz w:val="32"/>
          <w:szCs w:val="40"/>
        </w:rPr>
      </w:pPr>
    </w:p>
    <w:p w:rsidR="00325395" w:rsidRDefault="00325395" w:rsidP="005456C0">
      <w:pPr>
        <w:jc w:val="center"/>
        <w:outlineLvl w:val="0"/>
        <w:rPr>
          <w:rFonts w:ascii="Palatino Linotype" w:hAnsi="Palatino Linotype" w:cs="Helvetica"/>
          <w:b/>
          <w:sz w:val="32"/>
          <w:szCs w:val="40"/>
        </w:rPr>
      </w:pPr>
    </w:p>
    <w:p w:rsidR="0098446E" w:rsidRDefault="0098446E" w:rsidP="005456C0">
      <w:pPr>
        <w:jc w:val="center"/>
        <w:outlineLvl w:val="0"/>
        <w:rPr>
          <w:rFonts w:ascii="Palatino Linotype" w:hAnsi="Palatino Linotype" w:cs="Helvetica"/>
          <w:b/>
          <w:sz w:val="32"/>
          <w:szCs w:val="40"/>
        </w:rPr>
      </w:pPr>
    </w:p>
    <w:p w:rsidR="0098446E" w:rsidRDefault="0098446E" w:rsidP="005456C0">
      <w:pPr>
        <w:jc w:val="center"/>
        <w:outlineLvl w:val="0"/>
        <w:rPr>
          <w:rFonts w:ascii="Palatino Linotype" w:hAnsi="Palatino Linotype" w:cs="Helvetica"/>
          <w:b/>
          <w:sz w:val="32"/>
          <w:szCs w:val="40"/>
        </w:rPr>
      </w:pPr>
    </w:p>
    <w:p w:rsidR="002240ED" w:rsidRDefault="002240ED" w:rsidP="002240ED">
      <w:pPr>
        <w:jc w:val="center"/>
        <w:outlineLvl w:val="0"/>
        <w:rPr>
          <w:rFonts w:ascii="Garamond" w:hAnsi="Garamond" w:cs="Helvetica"/>
          <w:b/>
          <w:color w:val="0070C0"/>
          <w:sz w:val="32"/>
          <w:szCs w:val="40"/>
        </w:rPr>
      </w:pPr>
    </w:p>
    <w:p w:rsidR="002240ED" w:rsidRPr="00391DAC" w:rsidRDefault="002240ED" w:rsidP="002240ED">
      <w:pPr>
        <w:jc w:val="center"/>
        <w:outlineLvl w:val="0"/>
        <w:rPr>
          <w:rFonts w:ascii="Garamond" w:hAnsi="Garamond" w:cstheme="minorBidi"/>
          <w:b/>
          <w:szCs w:val="28"/>
          <w:lang w:bidi="bn-IN"/>
        </w:rPr>
      </w:pPr>
      <w:r w:rsidRPr="00391DAC">
        <w:rPr>
          <w:rFonts w:ascii="Garamond" w:hAnsi="Garamond" w:cs="Helvetica"/>
          <w:b/>
          <w:sz w:val="32"/>
          <w:szCs w:val="40"/>
        </w:rPr>
        <w:lastRenderedPageBreak/>
        <w:t>OVERVIEW OF THE GLOBAL FINANCIAL MARKETS</w:t>
      </w:r>
    </w:p>
    <w:p w:rsidR="002240ED" w:rsidRPr="00A32C0B" w:rsidRDefault="002240ED" w:rsidP="002240ED">
      <w:pPr>
        <w:pStyle w:val="ListParagraph"/>
        <w:spacing w:after="0" w:line="240" w:lineRule="auto"/>
        <w:ind w:left="360"/>
        <w:jc w:val="both"/>
        <w:rPr>
          <w:rFonts w:ascii="Garamond" w:eastAsia="Times New Roman" w:hAnsi="Garamond" w:cs="Arial"/>
          <w:cs/>
          <w:lang w:eastAsia="en-GB" w:bidi="bn-IN"/>
        </w:rPr>
      </w:pP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 xml:space="preserve">The global economic growth has softened in the 2nd quarter of 2019. According to World Bank, global growth is expected to slow to 2.6 percent in 2019, reflecting weaker-than-expected trade and investment </w:t>
      </w:r>
      <w:r w:rsidR="00583ADF">
        <w:rPr>
          <w:rFonts w:ascii="Palatino Linotype" w:eastAsia="Times New Roman" w:hAnsi="Palatino Linotype" w:cs="Arial"/>
          <w:sz w:val="22"/>
          <w:szCs w:val="22"/>
          <w:lang w:eastAsia="en-GB"/>
        </w:rPr>
        <w:t>since</w:t>
      </w:r>
      <w:r w:rsidR="00583ADF" w:rsidRPr="002240ED">
        <w:rPr>
          <w:rFonts w:ascii="Palatino Linotype" w:eastAsia="Times New Roman" w:hAnsi="Palatino Linotype" w:cs="Arial"/>
          <w:sz w:val="22"/>
          <w:szCs w:val="22"/>
          <w:lang w:eastAsia="en-GB"/>
        </w:rPr>
        <w:t xml:space="preserve"> </w:t>
      </w:r>
      <w:r w:rsidRPr="002240ED">
        <w:rPr>
          <w:rFonts w:ascii="Palatino Linotype" w:eastAsia="Times New Roman" w:hAnsi="Palatino Linotype" w:cs="Arial"/>
          <w:sz w:val="22"/>
          <w:szCs w:val="22"/>
          <w:lang w:eastAsia="en-GB"/>
        </w:rPr>
        <w:t>the start of the year. Subdued investment in emerging market and developing economies is dampening potential growth prospects. Risks to the outlook remain firmly on the downside, including the possibility of escalating trade tensions. Growth is projected to gradually rise to 2.8 percent by 2021.</w:t>
      </w: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In the major political development, tensions in the Middle East surged following attacks on two major oil facilities in Saudi Arabia. The pre-dawn attacks on September 14 knocked out more than half of the top global exporter's output - five per cent of the global oil supply - or about 5.7 million barrels per day. The oil prices surge</w:t>
      </w:r>
      <w:r w:rsidR="00CC627C">
        <w:rPr>
          <w:rFonts w:ascii="Palatino Linotype" w:eastAsia="Times New Roman" w:hAnsi="Palatino Linotype" w:cs="Arial"/>
          <w:sz w:val="22"/>
          <w:szCs w:val="22"/>
          <w:lang w:eastAsia="en-GB"/>
        </w:rPr>
        <w:t>d</w:t>
      </w:r>
      <w:r w:rsidRPr="002240ED">
        <w:rPr>
          <w:rFonts w:ascii="Palatino Linotype" w:eastAsia="Times New Roman" w:hAnsi="Palatino Linotype" w:cs="Arial"/>
          <w:sz w:val="22"/>
          <w:szCs w:val="22"/>
          <w:lang w:eastAsia="en-GB"/>
        </w:rPr>
        <w:t xml:space="preserve"> as much as 15 per cent to US$ 69 per barrel. The crude prices corrected subsequently to settle near US$ 56 per barrel by the end of September 2019, as Saudi Arabia announce</w:t>
      </w:r>
      <w:r w:rsidR="00760102">
        <w:rPr>
          <w:rFonts w:ascii="Palatino Linotype" w:eastAsia="Times New Roman" w:hAnsi="Palatino Linotype" w:cs="Arial"/>
          <w:sz w:val="22"/>
          <w:szCs w:val="22"/>
          <w:lang w:eastAsia="en-GB"/>
        </w:rPr>
        <w:t>s</w:t>
      </w:r>
      <w:r w:rsidRPr="002240ED">
        <w:rPr>
          <w:rFonts w:ascii="Palatino Linotype" w:eastAsia="Times New Roman" w:hAnsi="Palatino Linotype" w:cs="Arial"/>
          <w:sz w:val="22"/>
          <w:szCs w:val="22"/>
          <w:lang w:eastAsia="en-GB"/>
        </w:rPr>
        <w:t xml:space="preserve"> restoration of 75 per cent of crude output lost and no break out of war.</w:t>
      </w: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The US-China trade war concerns appear to have eased for the time being after both parties showed intention to resume talks in October 2019. China exempted certain U.S. agricultural products from additional tariffs, and President Donald Trump delayed a scheduled 5 per cent increase in tariffs on US$ 250 billion Chinese goods from October 1 to October 15</w:t>
      </w:r>
      <w:r w:rsidR="00760102">
        <w:rPr>
          <w:rFonts w:ascii="Palatino Linotype" w:eastAsia="Times New Roman" w:hAnsi="Palatino Linotype" w:cs="Arial"/>
          <w:sz w:val="22"/>
          <w:szCs w:val="22"/>
          <w:lang w:eastAsia="en-GB"/>
        </w:rPr>
        <w:t>.</w:t>
      </w: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The US Federal Reserve cut the fed fund rates by 25bps in September 2019, for the second time this year (with policy rates now between 1.75 – 2.0 per cent), on the back of lack of inflationary pressures, slow business investment growth and a struggling exports sector. The Fed stated that it is willing to cut rates even further if economic conditions weaken further.</w:t>
      </w: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Mario Draghi, The President of the European Central Bank (ECB), introduced a fresh round of monetary stimulus in an effort to bolster growth and inflation expectations. He relaunched a quantitative easing programme which will purchase $20bn of bonds a month</w:t>
      </w:r>
      <w:r w:rsidR="00777607">
        <w:rPr>
          <w:rFonts w:ascii="Palatino Linotype" w:eastAsia="Times New Roman" w:hAnsi="Palatino Linotype" w:cs="Arial"/>
          <w:sz w:val="22"/>
          <w:szCs w:val="22"/>
          <w:lang w:eastAsia="en-GB"/>
        </w:rPr>
        <w:t xml:space="preserve"> starting from November 2019</w:t>
      </w:r>
      <w:r w:rsidRPr="002240ED">
        <w:rPr>
          <w:rFonts w:ascii="Palatino Linotype" w:eastAsia="Times New Roman" w:hAnsi="Palatino Linotype" w:cs="Arial"/>
          <w:sz w:val="22"/>
          <w:szCs w:val="22"/>
          <w:lang w:eastAsia="en-GB"/>
        </w:rPr>
        <w:t>, cut the main deposit rate from -0.4 per cent to -0.5 per cent and introduced a third round of targeted longer-term refinancing for banks (TLTRO). </w:t>
      </w: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The House of Commons in the UK (UK Parliament) passed a bill designed to prevent a no-deal exit from the European Union and requires Prime Minister Johnson to seek a delay on Brexit date by three months if the government failed to secure a deal with the EU by 31st October.</w:t>
      </w: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 xml:space="preserve">Major central banks across the globe changed their monetary policy stance towards accommodative, on the concerns of slower than expected global growth. Many countries including Brazil, Russia, and India lowered their policy interest rate. Bank of England (BOE) and Bank of Japan (BOJ) held rates steady at 0.75 per cent and -0.1 per cent respectively. </w:t>
      </w: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 xml:space="preserve">The global equities, led by US stocks, rallied strongly in the first half of September 2019, as improvements in the outlook for U.S.–China trade talks supported risk markets. MSCI World Index gained over 3 per cent in the first part of September, but gave up some gains in the second half to close up only 1.9 per cent. MSCI Europe index gained 2.1 per cent. MSCI Emerging Market index was up 1.7 per cent. </w:t>
      </w: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Since the start of September there has been a broad-based increase in nominal bond yields, although most gains were lost in the second half of September 2019. The U.S. 10-year Treasury yield rose 17 bps to 1.66 per cent, the 10-year German bund yield rose 13 bps to –0.57 per cent, the 10-year Japanese government bond rate rose 6 bps to 0.21 per cent, and the 10-year U.K gilt yield moved marginally higher (1 bp) to 0.49 per cent.</w:t>
      </w: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 xml:space="preserve">The U.S. dollar ended the month stronger (up 0.5 per cent). The euro weakened 0.8 per cent versus the dollar on rate cut and announcement of further QE. The </w:t>
      </w:r>
      <w:r w:rsidR="00760102">
        <w:rPr>
          <w:rFonts w:ascii="Palatino Linotype" w:eastAsia="Times New Roman" w:hAnsi="Palatino Linotype" w:cs="Arial"/>
          <w:sz w:val="22"/>
          <w:szCs w:val="22"/>
          <w:lang w:eastAsia="en-GB"/>
        </w:rPr>
        <w:t>J</w:t>
      </w:r>
      <w:r w:rsidR="00760102" w:rsidRPr="002240ED">
        <w:rPr>
          <w:rFonts w:ascii="Palatino Linotype" w:eastAsia="Times New Roman" w:hAnsi="Palatino Linotype" w:cs="Arial"/>
          <w:sz w:val="22"/>
          <w:szCs w:val="22"/>
          <w:lang w:eastAsia="en-GB"/>
        </w:rPr>
        <w:t>apan</w:t>
      </w:r>
      <w:r w:rsidR="00760102">
        <w:rPr>
          <w:rFonts w:ascii="Palatino Linotype" w:eastAsia="Times New Roman" w:hAnsi="Palatino Linotype" w:cs="Arial"/>
          <w:sz w:val="22"/>
          <w:szCs w:val="22"/>
          <w:lang w:eastAsia="en-GB"/>
        </w:rPr>
        <w:t>e</w:t>
      </w:r>
      <w:r w:rsidR="00760102" w:rsidRPr="002240ED">
        <w:rPr>
          <w:rFonts w:ascii="Palatino Linotype" w:eastAsia="Times New Roman" w:hAnsi="Palatino Linotype" w:cs="Arial"/>
          <w:sz w:val="22"/>
          <w:szCs w:val="22"/>
          <w:lang w:eastAsia="en-GB"/>
        </w:rPr>
        <w:t>se</w:t>
      </w:r>
      <w:r w:rsidRPr="002240ED">
        <w:rPr>
          <w:rFonts w:ascii="Palatino Linotype" w:eastAsia="Times New Roman" w:hAnsi="Palatino Linotype" w:cs="Arial"/>
          <w:sz w:val="22"/>
          <w:szCs w:val="22"/>
          <w:lang w:eastAsia="en-GB"/>
        </w:rPr>
        <w:t xml:space="preserve"> Yen weakened 1.7 per cent on monetary easing expectations. In contrast, the British pound strengthened 1.1 per cent against the dollar on somewhat positive Brexit-related news as the odds of a no-deal Brexit appeared to diminish</w:t>
      </w: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lastRenderedPageBreak/>
        <w:t xml:space="preserve">The US economy slowed down a bit in the 2nd quarter of 2019, as the GDP grew at an annual rate of 2.0 per cent in Q2 of 2019 (compared to 3.1 per cent in the previous quarter and 3.5 per cent in the same quarter last year), as the uncertainty over the trade with the partners primarily weighed on the growth. </w:t>
      </w: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 xml:space="preserve">The quarter-on-quarter (Q-o-Q) GDP growth rate of the Euro Area softened to 0.2 per cent in Q2 of 2019 from 0.4 per cent in previous quarter, pulled down mainly by Germany, United Kingdom and Sweden. </w:t>
      </w: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Japan's quarterly economic growth was revised lower to 0.3 per cent in the second quarter of 2019 from a preliminary estimate of 0.4 per cent and compared to the previous period's 0.5 per cent growth.   </w:t>
      </w: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 xml:space="preserve">The Chinese economy has been hit by the ongoing trade war with the US. China’s GDP grew at a pace of 6.2 per cent Y-o-Y during the second quarter of 2019 which is the weakest growth rate in at least 27 years (since 1992). The Q-o-Q GDP growth rate for Q2 was 1.6 per cent, slightly up from the Q1 figure of 1.4 per cent. </w:t>
      </w: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 xml:space="preserve">The Brazilian economy grew by 0.4 per cent in Q2 compared to a contraction of 0.1 percent in Q1 and on year-on-year basis, it expanded 1.0 per cent in the second quarter, recording a growth of 0.5 per cent from Q1.   </w:t>
      </w: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On the domestic front, India’s GDP grew by 5.0 per cent in Q1 2019-20, continuing the slowdown in the growth rate since Q4 2017-18. The slowdown in growth rate has been on account of global as well as domestic factors. Retail inflation in India, measured by y-o-y change in the CPI, edged up to 3.21 per cent in August from 3.15 per cent in September. The Reserve Bank of India cut the interest rate further by 25 bps to 5.15 per cent, on growth concerns and also lowered its growth projection for 2019-20 to 6.1 percent from the earlier projection of 6.9 per cent. Meanwhile, World Bank has lowered its 2019-20 growth projection for India to 6 per</w:t>
      </w:r>
      <w:r w:rsidR="006B31E6">
        <w:rPr>
          <w:rFonts w:ascii="Palatino Linotype" w:eastAsia="Times New Roman" w:hAnsi="Palatino Linotype" w:cs="Arial"/>
          <w:sz w:val="22"/>
          <w:szCs w:val="22"/>
          <w:lang w:eastAsia="en-GB"/>
        </w:rPr>
        <w:t xml:space="preserve"> </w:t>
      </w:r>
      <w:r w:rsidRPr="002240ED">
        <w:rPr>
          <w:rFonts w:ascii="Palatino Linotype" w:eastAsia="Times New Roman" w:hAnsi="Palatino Linotype" w:cs="Arial"/>
          <w:sz w:val="22"/>
          <w:szCs w:val="22"/>
          <w:lang w:eastAsia="en-GB"/>
        </w:rPr>
        <w:t xml:space="preserve">cent from earlier forecast of 7.5 percent. On the positive side, Indian equities staged strong recovery as the government lowered basic corporate tax rate for domestic companies to 22 per cent from 30 per cent while for new manufacturing companies it has been cut down to 15 per cent from 25 per cent. The government also withdrew enhanced surcharge levied on long and short-term capital gains for individuals and trusts earning more than </w:t>
      </w:r>
      <w:r w:rsidR="006B31E6">
        <w:rPr>
          <w:rFonts w:ascii="Palatino Linotype" w:eastAsia="Times New Roman" w:hAnsi="Palatino Linotype" w:cs="Arial"/>
          <w:sz w:val="22"/>
          <w:szCs w:val="22"/>
          <w:lang w:eastAsia="en-GB"/>
        </w:rPr>
        <w:t>Rs</w:t>
      </w:r>
      <w:r w:rsidR="007A5542">
        <w:rPr>
          <w:rFonts w:ascii="Palatino Linotype" w:eastAsia="Times New Roman" w:hAnsi="Palatino Linotype" w:cs="Arial"/>
          <w:sz w:val="22"/>
          <w:szCs w:val="22"/>
          <w:lang w:eastAsia="en-GB"/>
        </w:rPr>
        <w:t>.</w:t>
      </w:r>
      <w:r w:rsidR="006B31E6">
        <w:rPr>
          <w:rFonts w:ascii="Palatino Linotype" w:eastAsia="Times New Roman" w:hAnsi="Palatino Linotype" w:cs="Arial"/>
          <w:sz w:val="22"/>
          <w:szCs w:val="22"/>
          <w:lang w:eastAsia="en-GB"/>
        </w:rPr>
        <w:t xml:space="preserve"> </w:t>
      </w:r>
      <w:r w:rsidRPr="002240ED">
        <w:rPr>
          <w:rFonts w:ascii="Palatino Linotype" w:eastAsia="Times New Roman" w:hAnsi="Palatino Linotype" w:cs="Arial"/>
          <w:sz w:val="22"/>
          <w:szCs w:val="22"/>
          <w:lang w:eastAsia="en-GB"/>
        </w:rPr>
        <w:t>2 crore. The stock market welcomed the announcements, as both Nifty and Sensex gained over 5 per cent in a day. </w:t>
      </w:r>
    </w:p>
    <w:p w:rsidR="002240ED" w:rsidRPr="00842D76" w:rsidRDefault="002240ED" w:rsidP="002240ED">
      <w:pPr>
        <w:jc w:val="both"/>
        <w:rPr>
          <w:rFonts w:ascii="Garamond" w:eastAsia="Times New Roman" w:hAnsi="Garamond" w:cs="Arial"/>
          <w:color w:val="0070C0"/>
          <w:lang w:eastAsia="en-GB"/>
        </w:rPr>
      </w:pPr>
    </w:p>
    <w:p w:rsidR="002240ED" w:rsidRPr="00E312D1" w:rsidRDefault="002240ED" w:rsidP="002240ED">
      <w:pPr>
        <w:outlineLvl w:val="0"/>
        <w:rPr>
          <w:rFonts w:ascii="Garamond" w:hAnsi="Garamond"/>
          <w:b/>
        </w:rPr>
      </w:pPr>
      <w:r w:rsidRPr="00E312D1">
        <w:rPr>
          <w:rFonts w:ascii="Garamond" w:hAnsi="Garamond"/>
          <w:b/>
        </w:rPr>
        <w:t>Equity Markets:</w:t>
      </w:r>
    </w:p>
    <w:p w:rsidR="002240ED" w:rsidRPr="00842D76" w:rsidRDefault="002240ED" w:rsidP="002240ED">
      <w:pPr>
        <w:outlineLvl w:val="0"/>
        <w:rPr>
          <w:rFonts w:ascii="Garamond" w:hAnsi="Garamond"/>
          <w:b/>
          <w:color w:val="0070C0"/>
        </w:rPr>
      </w:pP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 xml:space="preserve">The stock market returns have improved in September 2019 and the select indices of developed markets as well as in BRICS nations posted positive returns during September 2019, except the South African Index which fell by 0.8 per cent.  </w:t>
      </w: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 xml:space="preserve">The Indian indices, Nifty and Sensex first time turned month-on-month positive in September 2019 since June 2019.  Both the indices were bearish for last few months.  Nifty gained 4.1 per cent and Sensex </w:t>
      </w:r>
      <w:r w:rsidR="006B31E6" w:rsidRPr="002240ED">
        <w:rPr>
          <w:rFonts w:ascii="Palatino Linotype" w:eastAsia="Times New Roman" w:hAnsi="Palatino Linotype" w:cs="Arial"/>
          <w:sz w:val="22"/>
          <w:szCs w:val="22"/>
          <w:lang w:eastAsia="en-GB"/>
        </w:rPr>
        <w:t xml:space="preserve">gained </w:t>
      </w:r>
      <w:r w:rsidRPr="002240ED">
        <w:rPr>
          <w:rFonts w:ascii="Palatino Linotype" w:eastAsia="Times New Roman" w:hAnsi="Palatino Linotype" w:cs="Arial"/>
          <w:sz w:val="22"/>
          <w:szCs w:val="22"/>
          <w:lang w:eastAsia="en-GB"/>
        </w:rPr>
        <w:t>3.6 per cent during September.   However, they are yet to catch up with the June 2019 level.  The positivity could be attributed measures government has taken during the month to lift up the slowing down economy.  The government had slashed the Corporate Tax Rate from 34.9 per cent to 25.2 per cent and Minimum Alternate Tax from 18.5 per cent to 15 per cent.</w:t>
      </w: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 xml:space="preserve">Amongst the developed nations, Japan recorded the highest return of 5.1 percent during September while South Korea followed with 4.8 per cent.  The Indian index NSE Nifty led the stock indices of BRICS nations, with 4.1 per cent followed by BSE Sensex and Brazil IBovespa with 3.6 per cent each.  </w:t>
      </w: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There was a complete reversal in the behaviour of MSCI indices too during September 2019 as against August 2019. All the indices recorded positive returns in September 2019 over the previous month. The MSCI Emerging Markets Index underperformed the MSCI World.</w:t>
      </w:r>
    </w:p>
    <w:p w:rsidR="002240ED" w:rsidRPr="00842D76" w:rsidRDefault="002240ED" w:rsidP="002240ED">
      <w:pPr>
        <w:jc w:val="both"/>
        <w:rPr>
          <w:rFonts w:ascii="Garamond" w:eastAsia="Times New Roman" w:hAnsi="Garamond" w:cs="Arial"/>
          <w:color w:val="0070C0"/>
          <w:lang w:eastAsia="en-GB"/>
        </w:rPr>
      </w:pPr>
    </w:p>
    <w:p w:rsidR="002240ED" w:rsidRPr="00252E16" w:rsidRDefault="002240ED" w:rsidP="002240ED">
      <w:pPr>
        <w:jc w:val="both"/>
        <w:outlineLvl w:val="0"/>
        <w:rPr>
          <w:rFonts w:ascii="Garamond" w:hAnsi="Garamond" w:cs="Arial"/>
          <w:b/>
          <w:bCs/>
        </w:rPr>
      </w:pPr>
      <w:r w:rsidRPr="00252E16">
        <w:rPr>
          <w:rFonts w:ascii="Garamond" w:hAnsi="Garamond" w:cs="Arial"/>
          <w:b/>
          <w:bCs/>
        </w:rPr>
        <w:t>Table A2: Performance of Stock Indices</w:t>
      </w:r>
    </w:p>
    <w:tbl>
      <w:tblPr>
        <w:tblW w:w="10004" w:type="dxa"/>
        <w:jc w:val="center"/>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4A0" w:firstRow="1" w:lastRow="0" w:firstColumn="1" w:lastColumn="0" w:noHBand="0" w:noVBand="1"/>
      </w:tblPr>
      <w:tblGrid>
        <w:gridCol w:w="1165"/>
        <w:gridCol w:w="2449"/>
        <w:gridCol w:w="1201"/>
        <w:gridCol w:w="959"/>
        <w:gridCol w:w="900"/>
        <w:gridCol w:w="900"/>
        <w:gridCol w:w="723"/>
        <w:gridCol w:w="1071"/>
        <w:gridCol w:w="636"/>
      </w:tblGrid>
      <w:tr w:rsidR="002240ED" w:rsidRPr="00252E16" w:rsidTr="002240ED">
        <w:trPr>
          <w:trHeight w:val="240"/>
          <w:jc w:val="center"/>
        </w:trPr>
        <w:tc>
          <w:tcPr>
            <w:tcW w:w="1165" w:type="dxa"/>
            <w:vMerge w:val="restart"/>
            <w:tcBorders>
              <w:top w:val="single" w:sz="4" w:space="0" w:color="auto"/>
              <w:bottom w:val="single" w:sz="4" w:space="0" w:color="auto"/>
              <w:right w:val="single" w:sz="4" w:space="0" w:color="auto"/>
            </w:tcBorders>
            <w:shd w:val="clear" w:color="000000" w:fill="B4C6E7"/>
            <w:hideMark/>
          </w:tcPr>
          <w:p w:rsidR="002240ED" w:rsidRPr="00252E16" w:rsidRDefault="002240ED" w:rsidP="002240ED">
            <w:pPr>
              <w:jc w:val="center"/>
              <w:rPr>
                <w:rFonts w:ascii="Garamond" w:eastAsia="Times New Roman" w:hAnsi="Garamond" w:cs="Calibri"/>
                <w:b/>
                <w:bCs/>
                <w:sz w:val="20"/>
                <w:szCs w:val="20"/>
                <w:lang w:eastAsia="en-GB" w:bidi="hi-IN"/>
              </w:rPr>
            </w:pPr>
            <w:r w:rsidRPr="00252E16">
              <w:rPr>
                <w:rFonts w:ascii="Garamond" w:eastAsia="Times New Roman" w:hAnsi="Garamond" w:cs="Calibri"/>
                <w:b/>
                <w:bCs/>
                <w:sz w:val="20"/>
                <w:szCs w:val="20"/>
                <w:lang w:eastAsia="en-GB" w:bidi="hi-IN"/>
              </w:rPr>
              <w:t>Country</w:t>
            </w:r>
          </w:p>
        </w:tc>
        <w:tc>
          <w:tcPr>
            <w:tcW w:w="2449" w:type="dxa"/>
            <w:vMerge w:val="restart"/>
            <w:tcBorders>
              <w:left w:val="single" w:sz="4" w:space="0" w:color="auto"/>
              <w:right w:val="single" w:sz="4" w:space="0" w:color="auto"/>
            </w:tcBorders>
            <w:shd w:val="clear" w:color="000000" w:fill="B4C6E7"/>
            <w:hideMark/>
          </w:tcPr>
          <w:p w:rsidR="002240ED" w:rsidRPr="00252E16" w:rsidRDefault="002240ED" w:rsidP="002240ED">
            <w:pPr>
              <w:jc w:val="center"/>
              <w:rPr>
                <w:rFonts w:ascii="Garamond" w:eastAsia="Times New Roman" w:hAnsi="Garamond" w:cs="Calibri"/>
                <w:b/>
                <w:bCs/>
                <w:sz w:val="20"/>
                <w:szCs w:val="20"/>
                <w:lang w:eastAsia="en-GB" w:bidi="hi-IN"/>
              </w:rPr>
            </w:pPr>
            <w:r w:rsidRPr="00252E16">
              <w:rPr>
                <w:rFonts w:ascii="Garamond" w:eastAsia="Times New Roman" w:hAnsi="Garamond" w:cs="Calibri"/>
                <w:b/>
                <w:bCs/>
                <w:sz w:val="20"/>
                <w:szCs w:val="20"/>
                <w:lang w:eastAsia="en-GB" w:bidi="hi-IN"/>
              </w:rPr>
              <w:t>Name of the Index</w:t>
            </w:r>
          </w:p>
        </w:tc>
        <w:tc>
          <w:tcPr>
            <w:tcW w:w="1201" w:type="dxa"/>
            <w:tcBorders>
              <w:top w:val="single" w:sz="4" w:space="0" w:color="auto"/>
              <w:left w:val="single" w:sz="4" w:space="0" w:color="auto"/>
              <w:bottom w:val="nil"/>
              <w:right w:val="single" w:sz="4" w:space="0" w:color="auto"/>
            </w:tcBorders>
            <w:shd w:val="clear" w:color="000000" w:fill="B4C6E7"/>
            <w:noWrap/>
            <w:hideMark/>
          </w:tcPr>
          <w:p w:rsidR="002240ED" w:rsidRPr="00252E16" w:rsidRDefault="002240ED" w:rsidP="002240ED">
            <w:pPr>
              <w:jc w:val="center"/>
              <w:rPr>
                <w:rFonts w:ascii="Garamond" w:eastAsia="Times New Roman" w:hAnsi="Garamond" w:cs="Calibri"/>
                <w:b/>
                <w:bCs/>
                <w:sz w:val="20"/>
                <w:szCs w:val="20"/>
                <w:lang w:eastAsia="en-GB" w:bidi="hi-IN"/>
              </w:rPr>
            </w:pPr>
            <w:r w:rsidRPr="00252E16">
              <w:rPr>
                <w:rFonts w:ascii="Garamond" w:eastAsia="Times New Roman" w:hAnsi="Garamond" w:cs="Calibri"/>
                <w:b/>
                <w:bCs/>
                <w:sz w:val="20"/>
                <w:szCs w:val="20"/>
                <w:lang w:eastAsia="en-GB" w:bidi="hi-IN"/>
              </w:rPr>
              <w:t>Closing Value as on</w:t>
            </w:r>
          </w:p>
        </w:tc>
        <w:tc>
          <w:tcPr>
            <w:tcW w:w="3482" w:type="dxa"/>
            <w:gridSpan w:val="4"/>
            <w:tcBorders>
              <w:top w:val="single" w:sz="4" w:space="0" w:color="auto"/>
              <w:left w:val="single" w:sz="4" w:space="0" w:color="auto"/>
              <w:bottom w:val="single" w:sz="4" w:space="0" w:color="auto"/>
              <w:right w:val="single" w:sz="4" w:space="0" w:color="auto"/>
            </w:tcBorders>
            <w:shd w:val="clear" w:color="000000" w:fill="B4C6E7"/>
            <w:hideMark/>
          </w:tcPr>
          <w:p w:rsidR="002240ED" w:rsidRPr="00252E16" w:rsidRDefault="002240ED" w:rsidP="002240ED">
            <w:pPr>
              <w:jc w:val="center"/>
              <w:rPr>
                <w:rFonts w:ascii="Garamond" w:eastAsia="Times New Roman" w:hAnsi="Garamond" w:cs="Calibri"/>
                <w:b/>
                <w:bCs/>
                <w:sz w:val="20"/>
                <w:szCs w:val="20"/>
                <w:lang w:eastAsia="en-GB" w:bidi="hi-IN"/>
              </w:rPr>
            </w:pPr>
            <w:r w:rsidRPr="00252E16">
              <w:rPr>
                <w:rFonts w:ascii="Garamond" w:eastAsia="Times New Roman" w:hAnsi="Garamond" w:cs="Calibri"/>
                <w:b/>
                <w:bCs/>
                <w:sz w:val="20"/>
                <w:szCs w:val="20"/>
                <w:lang w:eastAsia="en-GB" w:bidi="hi-IN"/>
              </w:rPr>
              <w:t>Closing Value before</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2240ED" w:rsidRPr="00252E16" w:rsidRDefault="002240ED" w:rsidP="002240ED">
            <w:pPr>
              <w:jc w:val="center"/>
              <w:rPr>
                <w:rFonts w:ascii="Garamond" w:eastAsia="Times New Roman" w:hAnsi="Garamond" w:cs="Calibri"/>
                <w:b/>
                <w:bCs/>
                <w:sz w:val="20"/>
                <w:szCs w:val="20"/>
                <w:lang w:eastAsia="en-GB" w:bidi="hi-IN"/>
              </w:rPr>
            </w:pPr>
            <w:r w:rsidRPr="00252E16">
              <w:rPr>
                <w:rFonts w:ascii="Garamond" w:eastAsia="Times New Roman" w:hAnsi="Garamond" w:cs="Calibri"/>
                <w:b/>
                <w:bCs/>
                <w:sz w:val="20"/>
                <w:szCs w:val="20"/>
                <w:lang w:eastAsia="en-GB" w:bidi="hi-IN"/>
              </w:rPr>
              <w:t>Annualised Volatility (%)</w:t>
            </w:r>
          </w:p>
        </w:tc>
        <w:tc>
          <w:tcPr>
            <w:tcW w:w="636" w:type="dxa"/>
            <w:vMerge w:val="restart"/>
            <w:tcBorders>
              <w:left w:val="single" w:sz="4" w:space="0" w:color="auto"/>
            </w:tcBorders>
            <w:shd w:val="clear" w:color="000000" w:fill="B4C6E7"/>
            <w:hideMark/>
          </w:tcPr>
          <w:p w:rsidR="002240ED" w:rsidRPr="00252E16" w:rsidRDefault="002240ED" w:rsidP="002240ED">
            <w:pPr>
              <w:jc w:val="center"/>
              <w:rPr>
                <w:rFonts w:ascii="Garamond" w:eastAsia="Times New Roman" w:hAnsi="Garamond" w:cs="Calibri"/>
                <w:b/>
                <w:bCs/>
                <w:sz w:val="20"/>
                <w:szCs w:val="20"/>
                <w:lang w:eastAsia="en-GB" w:bidi="hi-IN"/>
              </w:rPr>
            </w:pPr>
            <w:r w:rsidRPr="00252E16">
              <w:rPr>
                <w:rFonts w:ascii="Garamond" w:eastAsia="Times New Roman" w:hAnsi="Garamond" w:cs="Calibri"/>
                <w:b/>
                <w:bCs/>
                <w:sz w:val="20"/>
                <w:szCs w:val="20"/>
                <w:lang w:eastAsia="en-GB" w:bidi="hi-IN"/>
              </w:rPr>
              <w:t>P/E Ratio</w:t>
            </w:r>
          </w:p>
        </w:tc>
      </w:tr>
      <w:tr w:rsidR="002240ED" w:rsidRPr="00252E16" w:rsidTr="002240ED">
        <w:trPr>
          <w:trHeight w:val="240"/>
          <w:jc w:val="center"/>
        </w:trPr>
        <w:tc>
          <w:tcPr>
            <w:tcW w:w="1165" w:type="dxa"/>
            <w:vMerge/>
            <w:tcBorders>
              <w:top w:val="nil"/>
              <w:bottom w:val="single" w:sz="4" w:space="0" w:color="auto"/>
              <w:right w:val="single" w:sz="4" w:space="0" w:color="auto"/>
            </w:tcBorders>
            <w:vAlign w:val="center"/>
            <w:hideMark/>
          </w:tcPr>
          <w:p w:rsidR="002240ED" w:rsidRPr="00252E16" w:rsidRDefault="002240ED" w:rsidP="002240ED">
            <w:pPr>
              <w:rPr>
                <w:rFonts w:ascii="Garamond" w:eastAsia="Times New Roman" w:hAnsi="Garamond" w:cs="Calibri"/>
                <w:b/>
                <w:bCs/>
                <w:sz w:val="20"/>
                <w:szCs w:val="20"/>
                <w:lang w:eastAsia="en-GB" w:bidi="hi-IN"/>
              </w:rPr>
            </w:pPr>
          </w:p>
        </w:tc>
        <w:tc>
          <w:tcPr>
            <w:tcW w:w="2449" w:type="dxa"/>
            <w:vMerge/>
            <w:tcBorders>
              <w:left w:val="single" w:sz="4" w:space="0" w:color="auto"/>
              <w:bottom w:val="single" w:sz="4" w:space="0" w:color="auto"/>
              <w:right w:val="single" w:sz="4" w:space="0" w:color="auto"/>
            </w:tcBorders>
            <w:vAlign w:val="center"/>
            <w:hideMark/>
          </w:tcPr>
          <w:p w:rsidR="002240ED" w:rsidRPr="00252E16" w:rsidRDefault="002240ED" w:rsidP="002240ED">
            <w:pPr>
              <w:rPr>
                <w:rFonts w:ascii="Garamond" w:eastAsia="Times New Roman" w:hAnsi="Garamond" w:cs="Calibri"/>
                <w:b/>
                <w:bCs/>
                <w:sz w:val="20"/>
                <w:szCs w:val="20"/>
                <w:lang w:eastAsia="en-GB" w:bidi="hi-IN"/>
              </w:rPr>
            </w:pPr>
          </w:p>
        </w:tc>
        <w:tc>
          <w:tcPr>
            <w:tcW w:w="1201" w:type="dxa"/>
            <w:tcBorders>
              <w:top w:val="nil"/>
              <w:left w:val="single" w:sz="4" w:space="0" w:color="auto"/>
              <w:bottom w:val="single" w:sz="4" w:space="0" w:color="auto"/>
              <w:right w:val="single" w:sz="4" w:space="0" w:color="auto"/>
            </w:tcBorders>
            <w:shd w:val="clear" w:color="000000" w:fill="B4C6E7"/>
            <w:noWrap/>
            <w:hideMark/>
          </w:tcPr>
          <w:p w:rsidR="002240ED" w:rsidRPr="00252E16" w:rsidRDefault="002240ED" w:rsidP="002240ED">
            <w:pPr>
              <w:jc w:val="center"/>
              <w:rPr>
                <w:rFonts w:ascii="Garamond" w:eastAsia="Times New Roman" w:hAnsi="Garamond" w:cs="Calibri"/>
                <w:b/>
                <w:bCs/>
                <w:sz w:val="20"/>
                <w:szCs w:val="20"/>
                <w:lang w:eastAsia="en-GB" w:bidi="hi-IN"/>
              </w:rPr>
            </w:pPr>
            <w:r w:rsidRPr="00252E16">
              <w:rPr>
                <w:rFonts w:ascii="Garamond" w:eastAsia="Times New Roman" w:hAnsi="Garamond" w:cs="Calibri"/>
                <w:b/>
                <w:bCs/>
                <w:sz w:val="20"/>
                <w:szCs w:val="20"/>
                <w:lang w:eastAsia="en-GB" w:bidi="hi-IN"/>
              </w:rPr>
              <w:t>August 31, 2019</w:t>
            </w:r>
          </w:p>
        </w:tc>
        <w:tc>
          <w:tcPr>
            <w:tcW w:w="959" w:type="dxa"/>
            <w:tcBorders>
              <w:top w:val="single" w:sz="4" w:space="0" w:color="auto"/>
              <w:left w:val="single" w:sz="4" w:space="0" w:color="auto"/>
              <w:bottom w:val="single" w:sz="4" w:space="0" w:color="auto"/>
              <w:right w:val="single" w:sz="4" w:space="0" w:color="auto"/>
            </w:tcBorders>
            <w:shd w:val="clear" w:color="000000" w:fill="B4C6E7"/>
            <w:noWrap/>
            <w:hideMark/>
          </w:tcPr>
          <w:p w:rsidR="002240ED" w:rsidRPr="00252E16" w:rsidRDefault="002240ED" w:rsidP="002240ED">
            <w:pPr>
              <w:rPr>
                <w:rFonts w:ascii="Garamond" w:eastAsia="Times New Roman" w:hAnsi="Garamond" w:cs="Calibri"/>
                <w:b/>
                <w:bCs/>
                <w:sz w:val="20"/>
                <w:szCs w:val="20"/>
                <w:lang w:eastAsia="en-GB" w:bidi="hi-IN"/>
              </w:rPr>
            </w:pPr>
            <w:r w:rsidRPr="00252E16">
              <w:rPr>
                <w:rFonts w:ascii="Garamond" w:eastAsia="Times New Roman" w:hAnsi="Garamond" w:cs="Calibri"/>
                <w:b/>
                <w:bCs/>
                <w:sz w:val="20"/>
                <w:szCs w:val="20"/>
                <w:lang w:eastAsia="en-GB" w:bidi="hi-IN"/>
              </w:rPr>
              <w:t>1-Month</w:t>
            </w:r>
          </w:p>
        </w:tc>
        <w:tc>
          <w:tcPr>
            <w:tcW w:w="900" w:type="dxa"/>
            <w:tcBorders>
              <w:top w:val="single" w:sz="4" w:space="0" w:color="auto"/>
              <w:left w:val="single" w:sz="4" w:space="0" w:color="auto"/>
              <w:bottom w:val="single" w:sz="4" w:space="0" w:color="auto"/>
              <w:right w:val="single" w:sz="4" w:space="0" w:color="auto"/>
            </w:tcBorders>
            <w:shd w:val="clear" w:color="000000" w:fill="B4C6E7"/>
            <w:noWrap/>
            <w:hideMark/>
          </w:tcPr>
          <w:p w:rsidR="002240ED" w:rsidRPr="00252E16" w:rsidRDefault="002240ED" w:rsidP="002240ED">
            <w:pPr>
              <w:rPr>
                <w:rFonts w:ascii="Garamond" w:eastAsia="Times New Roman" w:hAnsi="Garamond" w:cs="Calibri"/>
                <w:b/>
                <w:bCs/>
                <w:sz w:val="20"/>
                <w:szCs w:val="20"/>
                <w:lang w:eastAsia="en-GB" w:bidi="hi-IN"/>
              </w:rPr>
            </w:pPr>
            <w:r w:rsidRPr="00252E16">
              <w:rPr>
                <w:rFonts w:ascii="Garamond" w:eastAsia="Times New Roman" w:hAnsi="Garamond" w:cs="Calibri"/>
                <w:b/>
                <w:bCs/>
                <w:sz w:val="20"/>
                <w:szCs w:val="20"/>
                <w:lang w:eastAsia="en-GB" w:bidi="hi-IN"/>
              </w:rPr>
              <w:t>3-Month</w:t>
            </w:r>
          </w:p>
        </w:tc>
        <w:tc>
          <w:tcPr>
            <w:tcW w:w="900" w:type="dxa"/>
            <w:tcBorders>
              <w:top w:val="single" w:sz="4" w:space="0" w:color="auto"/>
              <w:left w:val="single" w:sz="4" w:space="0" w:color="auto"/>
              <w:bottom w:val="single" w:sz="4" w:space="0" w:color="auto"/>
              <w:right w:val="single" w:sz="4" w:space="0" w:color="auto"/>
            </w:tcBorders>
            <w:shd w:val="clear" w:color="000000" w:fill="B4C6E7"/>
            <w:noWrap/>
            <w:hideMark/>
          </w:tcPr>
          <w:p w:rsidR="002240ED" w:rsidRPr="00252E16" w:rsidRDefault="002240ED" w:rsidP="002240ED">
            <w:pPr>
              <w:rPr>
                <w:rFonts w:ascii="Garamond" w:eastAsia="Times New Roman" w:hAnsi="Garamond" w:cs="Calibri"/>
                <w:b/>
                <w:bCs/>
                <w:sz w:val="20"/>
                <w:szCs w:val="20"/>
                <w:lang w:eastAsia="en-GB" w:bidi="hi-IN"/>
              </w:rPr>
            </w:pPr>
            <w:r w:rsidRPr="00252E16">
              <w:rPr>
                <w:rFonts w:ascii="Garamond" w:eastAsia="Times New Roman" w:hAnsi="Garamond" w:cs="Calibri"/>
                <w:b/>
                <w:bCs/>
                <w:sz w:val="20"/>
                <w:szCs w:val="20"/>
                <w:lang w:eastAsia="en-GB" w:bidi="hi-IN"/>
              </w:rPr>
              <w:t>6-Month</w:t>
            </w:r>
          </w:p>
        </w:tc>
        <w:tc>
          <w:tcPr>
            <w:tcW w:w="723" w:type="dxa"/>
            <w:tcBorders>
              <w:top w:val="single" w:sz="4" w:space="0" w:color="auto"/>
              <w:left w:val="single" w:sz="4" w:space="0" w:color="auto"/>
              <w:bottom w:val="single" w:sz="4" w:space="0" w:color="auto"/>
              <w:right w:val="single" w:sz="4" w:space="0" w:color="auto"/>
            </w:tcBorders>
            <w:shd w:val="clear" w:color="000000" w:fill="B4C6E7"/>
            <w:noWrap/>
            <w:hideMark/>
          </w:tcPr>
          <w:p w:rsidR="002240ED" w:rsidRPr="00252E16" w:rsidRDefault="002240ED" w:rsidP="002240ED">
            <w:pPr>
              <w:rPr>
                <w:rFonts w:ascii="Garamond" w:eastAsia="Times New Roman" w:hAnsi="Garamond" w:cs="Calibri"/>
                <w:b/>
                <w:bCs/>
                <w:sz w:val="20"/>
                <w:szCs w:val="20"/>
                <w:lang w:eastAsia="en-GB" w:bidi="hi-IN"/>
              </w:rPr>
            </w:pPr>
            <w:r w:rsidRPr="00252E16">
              <w:rPr>
                <w:rFonts w:ascii="Garamond" w:eastAsia="Times New Roman" w:hAnsi="Garamond" w:cs="Calibri"/>
                <w:b/>
                <w:bCs/>
                <w:sz w:val="20"/>
                <w:szCs w:val="20"/>
                <w:lang w:eastAsia="en-GB" w:bidi="hi-IN"/>
              </w:rPr>
              <w:t>1-Year</w:t>
            </w:r>
          </w:p>
        </w:tc>
        <w:tc>
          <w:tcPr>
            <w:tcW w:w="1071" w:type="dxa"/>
            <w:vMerge/>
            <w:tcBorders>
              <w:top w:val="nil"/>
              <w:left w:val="single" w:sz="4" w:space="0" w:color="auto"/>
              <w:bottom w:val="single" w:sz="4" w:space="0" w:color="auto"/>
              <w:right w:val="single" w:sz="4" w:space="0" w:color="auto"/>
            </w:tcBorders>
            <w:vAlign w:val="center"/>
            <w:hideMark/>
          </w:tcPr>
          <w:p w:rsidR="002240ED" w:rsidRPr="00252E16" w:rsidRDefault="002240ED" w:rsidP="002240ED">
            <w:pPr>
              <w:rPr>
                <w:rFonts w:ascii="Garamond" w:eastAsia="Times New Roman" w:hAnsi="Garamond" w:cs="Calibri"/>
                <w:b/>
                <w:bCs/>
                <w:sz w:val="20"/>
                <w:szCs w:val="20"/>
                <w:lang w:eastAsia="en-GB" w:bidi="hi-IN"/>
              </w:rPr>
            </w:pPr>
          </w:p>
        </w:tc>
        <w:tc>
          <w:tcPr>
            <w:tcW w:w="636" w:type="dxa"/>
            <w:vMerge/>
            <w:tcBorders>
              <w:left w:val="single" w:sz="4" w:space="0" w:color="auto"/>
              <w:bottom w:val="single" w:sz="4" w:space="0" w:color="auto"/>
            </w:tcBorders>
            <w:vAlign w:val="center"/>
            <w:hideMark/>
          </w:tcPr>
          <w:p w:rsidR="002240ED" w:rsidRPr="00252E16" w:rsidRDefault="002240ED" w:rsidP="002240ED">
            <w:pPr>
              <w:rPr>
                <w:rFonts w:ascii="Garamond" w:eastAsia="Times New Roman" w:hAnsi="Garamond" w:cs="Calibri"/>
                <w:b/>
                <w:bCs/>
                <w:sz w:val="20"/>
                <w:szCs w:val="20"/>
                <w:lang w:eastAsia="en-GB" w:bidi="hi-IN"/>
              </w:rPr>
            </w:pPr>
          </w:p>
        </w:tc>
      </w:tr>
      <w:tr w:rsidR="002240ED" w:rsidRPr="00252E16" w:rsidTr="002240ED">
        <w:trPr>
          <w:trHeight w:val="240"/>
          <w:jc w:val="center"/>
        </w:trPr>
        <w:tc>
          <w:tcPr>
            <w:tcW w:w="10004" w:type="dxa"/>
            <w:gridSpan w:val="9"/>
            <w:tcBorders>
              <w:top w:val="single" w:sz="4" w:space="0" w:color="auto"/>
              <w:bottom w:val="single" w:sz="4" w:space="0" w:color="auto"/>
            </w:tcBorders>
            <w:shd w:val="clear" w:color="000000" w:fill="D9E1F2"/>
            <w:noWrap/>
            <w:hideMark/>
          </w:tcPr>
          <w:p w:rsidR="002240ED" w:rsidRPr="00252E16" w:rsidRDefault="002240ED" w:rsidP="002240ED">
            <w:pPr>
              <w:jc w:val="center"/>
              <w:rPr>
                <w:rFonts w:ascii="Garamond" w:eastAsia="Times New Roman" w:hAnsi="Garamond" w:cs="Calibri"/>
                <w:b/>
                <w:bCs/>
                <w:sz w:val="20"/>
                <w:szCs w:val="20"/>
                <w:lang w:eastAsia="en-GB" w:bidi="hi-IN"/>
              </w:rPr>
            </w:pPr>
            <w:r w:rsidRPr="00252E16">
              <w:rPr>
                <w:rFonts w:ascii="Garamond" w:eastAsia="Times New Roman" w:hAnsi="Garamond" w:cs="Calibri"/>
                <w:b/>
                <w:bCs/>
                <w:sz w:val="20"/>
                <w:szCs w:val="20"/>
                <w:lang w:eastAsia="en-GB" w:bidi="hi-IN"/>
              </w:rPr>
              <w:t>BRICS Nations</w:t>
            </w:r>
          </w:p>
        </w:tc>
      </w:tr>
      <w:tr w:rsidR="002240ED" w:rsidRPr="00252E16" w:rsidTr="002240ED">
        <w:trPr>
          <w:trHeight w:val="240"/>
          <w:jc w:val="center"/>
        </w:trPr>
        <w:tc>
          <w:tcPr>
            <w:tcW w:w="1165" w:type="dxa"/>
            <w:tcBorders>
              <w:top w:val="single" w:sz="4" w:space="0" w:color="auto"/>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Brazil</w:t>
            </w:r>
          </w:p>
        </w:tc>
        <w:tc>
          <w:tcPr>
            <w:tcW w:w="2449" w:type="dxa"/>
            <w:tcBorders>
              <w:top w:val="single" w:sz="4" w:space="0" w:color="auto"/>
              <w:left w:val="single" w:sz="4" w:space="0" w:color="auto"/>
              <w:bottom w:val="nil"/>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18"/>
                <w:szCs w:val="18"/>
                <w:lang w:eastAsia="en-GB" w:bidi="hi-IN"/>
              </w:rPr>
            </w:pPr>
            <w:r w:rsidRPr="00252E16">
              <w:rPr>
                <w:rFonts w:ascii="Garamond" w:eastAsia="Times New Roman" w:hAnsi="Garamond" w:cs="Calibri"/>
                <w:sz w:val="18"/>
                <w:szCs w:val="18"/>
                <w:lang w:eastAsia="en-GB" w:bidi="hi-IN"/>
              </w:rPr>
              <w:t xml:space="preserve">BRAZIL IBOVESPA </w:t>
            </w:r>
          </w:p>
        </w:tc>
        <w:tc>
          <w:tcPr>
            <w:tcW w:w="1201" w:type="dxa"/>
            <w:tcBorders>
              <w:top w:val="single" w:sz="4" w:space="0" w:color="auto"/>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104745.3</w:t>
            </w:r>
          </w:p>
        </w:tc>
        <w:tc>
          <w:tcPr>
            <w:tcW w:w="959" w:type="dxa"/>
            <w:tcBorders>
              <w:top w:val="single" w:sz="4" w:space="0" w:color="auto"/>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101134.6</w:t>
            </w:r>
          </w:p>
        </w:tc>
        <w:tc>
          <w:tcPr>
            <w:tcW w:w="900" w:type="dxa"/>
            <w:tcBorders>
              <w:top w:val="single" w:sz="4" w:space="0" w:color="auto"/>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100967.2</w:t>
            </w:r>
          </w:p>
        </w:tc>
        <w:tc>
          <w:tcPr>
            <w:tcW w:w="900" w:type="dxa"/>
            <w:tcBorders>
              <w:top w:val="single" w:sz="4" w:space="0" w:color="auto"/>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95414.6</w:t>
            </w:r>
          </w:p>
        </w:tc>
        <w:tc>
          <w:tcPr>
            <w:tcW w:w="723" w:type="dxa"/>
            <w:tcBorders>
              <w:top w:val="single" w:sz="4" w:space="0" w:color="auto"/>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79342.4</w:t>
            </w:r>
          </w:p>
        </w:tc>
        <w:tc>
          <w:tcPr>
            <w:tcW w:w="1071" w:type="dxa"/>
            <w:tcBorders>
              <w:top w:val="single" w:sz="4" w:space="0" w:color="auto"/>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18.3</w:t>
            </w:r>
          </w:p>
        </w:tc>
        <w:tc>
          <w:tcPr>
            <w:tcW w:w="636" w:type="dxa"/>
            <w:tcBorders>
              <w:top w:val="single" w:sz="4" w:space="0" w:color="auto"/>
              <w:lef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16.2</w:t>
            </w:r>
          </w:p>
        </w:tc>
      </w:tr>
      <w:tr w:rsidR="002240ED" w:rsidRPr="00252E16" w:rsidTr="002240ED">
        <w:trPr>
          <w:trHeight w:val="240"/>
          <w:jc w:val="center"/>
        </w:trPr>
        <w:tc>
          <w:tcPr>
            <w:tcW w:w="1165" w:type="dxa"/>
            <w:tcBorders>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Russia</w:t>
            </w:r>
          </w:p>
        </w:tc>
        <w:tc>
          <w:tcPr>
            <w:tcW w:w="2449" w:type="dxa"/>
            <w:tcBorders>
              <w:top w:val="nil"/>
              <w:left w:val="single" w:sz="4" w:space="0" w:color="auto"/>
              <w:bottom w:val="nil"/>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18"/>
                <w:szCs w:val="18"/>
                <w:lang w:eastAsia="en-GB" w:bidi="hi-IN"/>
              </w:rPr>
            </w:pPr>
            <w:r w:rsidRPr="00252E16">
              <w:rPr>
                <w:rFonts w:ascii="Garamond" w:eastAsia="Times New Roman" w:hAnsi="Garamond" w:cs="Calibri"/>
                <w:sz w:val="18"/>
                <w:szCs w:val="18"/>
                <w:lang w:eastAsia="en-GB" w:bidi="hi-IN"/>
              </w:rPr>
              <w:t xml:space="preserve">RUSSIAN TRADED </w:t>
            </w:r>
          </w:p>
        </w:tc>
        <w:tc>
          <w:tcPr>
            <w:tcW w:w="120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1949.7</w:t>
            </w:r>
          </w:p>
        </w:tc>
        <w:tc>
          <w:tcPr>
            <w:tcW w:w="959"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1904.7</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2044.5</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1758.9</w:t>
            </w:r>
          </w:p>
        </w:tc>
        <w:tc>
          <w:tcPr>
            <w:tcW w:w="723"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1762.0</w:t>
            </w:r>
          </w:p>
        </w:tc>
        <w:tc>
          <w:tcPr>
            <w:tcW w:w="107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16.9</w:t>
            </w:r>
          </w:p>
        </w:tc>
        <w:tc>
          <w:tcPr>
            <w:tcW w:w="636" w:type="dxa"/>
            <w:tcBorders>
              <w:lef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5.3</w:t>
            </w:r>
          </w:p>
        </w:tc>
      </w:tr>
      <w:tr w:rsidR="002240ED" w:rsidRPr="00252E16" w:rsidTr="002240ED">
        <w:trPr>
          <w:trHeight w:val="240"/>
          <w:jc w:val="center"/>
        </w:trPr>
        <w:tc>
          <w:tcPr>
            <w:tcW w:w="1165" w:type="dxa"/>
            <w:tcBorders>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India</w:t>
            </w:r>
          </w:p>
        </w:tc>
        <w:tc>
          <w:tcPr>
            <w:tcW w:w="2449" w:type="dxa"/>
            <w:tcBorders>
              <w:top w:val="nil"/>
              <w:left w:val="single" w:sz="4" w:space="0" w:color="auto"/>
              <w:bottom w:val="nil"/>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18"/>
                <w:szCs w:val="18"/>
                <w:lang w:eastAsia="en-GB" w:bidi="hi-IN"/>
              </w:rPr>
            </w:pPr>
            <w:r w:rsidRPr="00252E16">
              <w:rPr>
                <w:rFonts w:ascii="Garamond" w:eastAsia="Times New Roman" w:hAnsi="Garamond" w:cs="Calibri"/>
                <w:sz w:val="18"/>
                <w:szCs w:val="18"/>
                <w:lang w:eastAsia="en-GB" w:bidi="hi-IN"/>
              </w:rPr>
              <w:t>Nifty 50</w:t>
            </w:r>
          </w:p>
        </w:tc>
        <w:tc>
          <w:tcPr>
            <w:tcW w:w="120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11474.5</w:t>
            </w:r>
          </w:p>
        </w:tc>
        <w:tc>
          <w:tcPr>
            <w:tcW w:w="959"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11023.3</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11788.9</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11623.9</w:t>
            </w:r>
          </w:p>
        </w:tc>
        <w:tc>
          <w:tcPr>
            <w:tcW w:w="723"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10930.5</w:t>
            </w:r>
          </w:p>
        </w:tc>
        <w:tc>
          <w:tcPr>
            <w:tcW w:w="107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15.3</w:t>
            </w:r>
          </w:p>
        </w:tc>
        <w:tc>
          <w:tcPr>
            <w:tcW w:w="636" w:type="dxa"/>
            <w:tcBorders>
              <w:lef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26.4</w:t>
            </w:r>
          </w:p>
        </w:tc>
      </w:tr>
      <w:tr w:rsidR="002240ED" w:rsidRPr="00252E16" w:rsidTr="002240ED">
        <w:trPr>
          <w:trHeight w:val="240"/>
          <w:jc w:val="center"/>
        </w:trPr>
        <w:tc>
          <w:tcPr>
            <w:tcW w:w="1165" w:type="dxa"/>
            <w:tcBorders>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India</w:t>
            </w:r>
          </w:p>
        </w:tc>
        <w:tc>
          <w:tcPr>
            <w:tcW w:w="2449" w:type="dxa"/>
            <w:tcBorders>
              <w:top w:val="nil"/>
              <w:left w:val="single" w:sz="4" w:space="0" w:color="auto"/>
              <w:bottom w:val="nil"/>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18"/>
                <w:szCs w:val="18"/>
                <w:lang w:eastAsia="en-GB" w:bidi="hi-IN"/>
              </w:rPr>
            </w:pPr>
            <w:r w:rsidRPr="00252E16">
              <w:rPr>
                <w:rFonts w:ascii="Garamond" w:eastAsia="Times New Roman" w:hAnsi="Garamond" w:cs="Calibri"/>
                <w:sz w:val="18"/>
                <w:szCs w:val="18"/>
                <w:lang w:eastAsia="en-GB" w:bidi="hi-IN"/>
              </w:rPr>
              <w:t xml:space="preserve">S&amp;P BSE SENSEX </w:t>
            </w:r>
          </w:p>
        </w:tc>
        <w:tc>
          <w:tcPr>
            <w:tcW w:w="120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38667.3</w:t>
            </w:r>
          </w:p>
        </w:tc>
        <w:tc>
          <w:tcPr>
            <w:tcW w:w="959"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37332.8</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39394.6</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38672.9</w:t>
            </w:r>
          </w:p>
        </w:tc>
        <w:tc>
          <w:tcPr>
            <w:tcW w:w="723"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36227.1</w:t>
            </w:r>
          </w:p>
        </w:tc>
        <w:tc>
          <w:tcPr>
            <w:tcW w:w="107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15.2</w:t>
            </w:r>
          </w:p>
        </w:tc>
        <w:tc>
          <w:tcPr>
            <w:tcW w:w="636" w:type="dxa"/>
            <w:tcBorders>
              <w:lef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27.0</w:t>
            </w:r>
          </w:p>
        </w:tc>
      </w:tr>
      <w:tr w:rsidR="002240ED" w:rsidRPr="00252E16" w:rsidTr="002240ED">
        <w:trPr>
          <w:trHeight w:val="240"/>
          <w:jc w:val="center"/>
        </w:trPr>
        <w:tc>
          <w:tcPr>
            <w:tcW w:w="1165" w:type="dxa"/>
            <w:tcBorders>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China</w:t>
            </w:r>
          </w:p>
        </w:tc>
        <w:tc>
          <w:tcPr>
            <w:tcW w:w="2449" w:type="dxa"/>
            <w:tcBorders>
              <w:top w:val="nil"/>
              <w:left w:val="single" w:sz="4" w:space="0" w:color="auto"/>
              <w:bottom w:val="nil"/>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18"/>
                <w:szCs w:val="18"/>
                <w:lang w:eastAsia="en-GB" w:bidi="hi-IN"/>
              </w:rPr>
            </w:pPr>
            <w:r w:rsidRPr="00252E16">
              <w:rPr>
                <w:rFonts w:ascii="Garamond" w:eastAsia="Times New Roman" w:hAnsi="Garamond" w:cs="Calibri"/>
                <w:sz w:val="18"/>
                <w:szCs w:val="18"/>
                <w:lang w:eastAsia="en-GB" w:bidi="hi-IN"/>
              </w:rPr>
              <w:t>SHANGHAI SE COMPOSITE</w:t>
            </w:r>
          </w:p>
        </w:tc>
        <w:tc>
          <w:tcPr>
            <w:tcW w:w="120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2905.2</w:t>
            </w:r>
          </w:p>
        </w:tc>
        <w:tc>
          <w:tcPr>
            <w:tcW w:w="959"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2886.2</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2978.9</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3090.8</w:t>
            </w:r>
          </w:p>
        </w:tc>
        <w:tc>
          <w:tcPr>
            <w:tcW w:w="723"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2821.4</w:t>
            </w:r>
          </w:p>
        </w:tc>
        <w:tc>
          <w:tcPr>
            <w:tcW w:w="107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19.2</w:t>
            </w:r>
          </w:p>
        </w:tc>
        <w:tc>
          <w:tcPr>
            <w:tcW w:w="636" w:type="dxa"/>
            <w:tcBorders>
              <w:lef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14.1</w:t>
            </w:r>
          </w:p>
        </w:tc>
      </w:tr>
      <w:tr w:rsidR="002240ED" w:rsidRPr="00252E16" w:rsidTr="002240ED">
        <w:trPr>
          <w:trHeight w:val="240"/>
          <w:jc w:val="center"/>
        </w:trPr>
        <w:tc>
          <w:tcPr>
            <w:tcW w:w="1165" w:type="dxa"/>
            <w:tcBorders>
              <w:bottom w:val="single" w:sz="4" w:space="0" w:color="auto"/>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South Africa</w:t>
            </w:r>
          </w:p>
        </w:tc>
        <w:tc>
          <w:tcPr>
            <w:tcW w:w="2449" w:type="dxa"/>
            <w:tcBorders>
              <w:top w:val="nil"/>
              <w:left w:val="single" w:sz="4" w:space="0" w:color="auto"/>
              <w:bottom w:val="single" w:sz="4" w:space="0" w:color="auto"/>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18"/>
                <w:szCs w:val="18"/>
                <w:lang w:eastAsia="en-GB" w:bidi="hi-IN"/>
              </w:rPr>
            </w:pPr>
            <w:r w:rsidRPr="00252E16">
              <w:rPr>
                <w:rFonts w:ascii="Garamond" w:eastAsia="Times New Roman" w:hAnsi="Garamond" w:cs="Calibri"/>
                <w:sz w:val="18"/>
                <w:szCs w:val="18"/>
                <w:lang w:eastAsia="en-GB" w:bidi="hi-IN"/>
              </w:rPr>
              <w:t>FTSE/JSE AFRICA ALL SHR</w:t>
            </w:r>
          </w:p>
        </w:tc>
        <w:tc>
          <w:tcPr>
            <w:tcW w:w="1201" w:type="dxa"/>
            <w:tcBorders>
              <w:top w:val="nil"/>
              <w:left w:val="single" w:sz="4" w:space="0" w:color="auto"/>
              <w:bottom w:val="single" w:sz="4" w:space="0" w:color="auto"/>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54825.0</w:t>
            </w:r>
          </w:p>
        </w:tc>
        <w:tc>
          <w:tcPr>
            <w:tcW w:w="959" w:type="dxa"/>
            <w:tcBorders>
              <w:top w:val="nil"/>
              <w:left w:val="single" w:sz="4" w:space="0" w:color="auto"/>
              <w:bottom w:val="single" w:sz="4" w:space="0" w:color="auto"/>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55259.6</w:t>
            </w:r>
          </w:p>
        </w:tc>
        <w:tc>
          <w:tcPr>
            <w:tcW w:w="900" w:type="dxa"/>
            <w:tcBorders>
              <w:top w:val="nil"/>
              <w:left w:val="single" w:sz="4" w:space="0" w:color="auto"/>
              <w:bottom w:val="single" w:sz="4" w:space="0" w:color="auto"/>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58203.8</w:t>
            </w:r>
          </w:p>
        </w:tc>
        <w:tc>
          <w:tcPr>
            <w:tcW w:w="900" w:type="dxa"/>
            <w:tcBorders>
              <w:top w:val="nil"/>
              <w:left w:val="single" w:sz="4" w:space="0" w:color="auto"/>
              <w:bottom w:val="single" w:sz="4" w:space="0" w:color="auto"/>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56462.6</w:t>
            </w:r>
          </w:p>
        </w:tc>
        <w:tc>
          <w:tcPr>
            <w:tcW w:w="723" w:type="dxa"/>
            <w:tcBorders>
              <w:top w:val="nil"/>
              <w:left w:val="single" w:sz="4" w:space="0" w:color="auto"/>
              <w:bottom w:val="single" w:sz="4" w:space="0" w:color="auto"/>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55708.5</w:t>
            </w:r>
          </w:p>
        </w:tc>
        <w:tc>
          <w:tcPr>
            <w:tcW w:w="1071" w:type="dxa"/>
            <w:tcBorders>
              <w:top w:val="nil"/>
              <w:left w:val="single" w:sz="4" w:space="0" w:color="auto"/>
              <w:bottom w:val="single" w:sz="4" w:space="0" w:color="auto"/>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12.4</w:t>
            </w:r>
          </w:p>
        </w:tc>
        <w:tc>
          <w:tcPr>
            <w:tcW w:w="636" w:type="dxa"/>
            <w:tcBorders>
              <w:left w:val="single" w:sz="4" w:space="0" w:color="auto"/>
              <w:bottom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14.3</w:t>
            </w:r>
          </w:p>
        </w:tc>
      </w:tr>
      <w:tr w:rsidR="002240ED" w:rsidRPr="00252E16" w:rsidTr="002240ED">
        <w:trPr>
          <w:trHeight w:val="240"/>
          <w:jc w:val="center"/>
        </w:trPr>
        <w:tc>
          <w:tcPr>
            <w:tcW w:w="10004" w:type="dxa"/>
            <w:gridSpan w:val="9"/>
            <w:tcBorders>
              <w:top w:val="single" w:sz="4" w:space="0" w:color="auto"/>
              <w:bottom w:val="single" w:sz="4" w:space="0" w:color="auto"/>
            </w:tcBorders>
            <w:shd w:val="clear" w:color="000000" w:fill="D9E1F2"/>
            <w:hideMark/>
          </w:tcPr>
          <w:p w:rsidR="002240ED" w:rsidRPr="00252E16" w:rsidRDefault="002240ED" w:rsidP="002240ED">
            <w:pPr>
              <w:jc w:val="center"/>
              <w:rPr>
                <w:rFonts w:ascii="Garamond" w:eastAsia="Times New Roman" w:hAnsi="Garamond" w:cs="Calibri"/>
                <w:b/>
                <w:bCs/>
                <w:sz w:val="20"/>
                <w:szCs w:val="20"/>
                <w:lang w:eastAsia="en-GB" w:bidi="hi-IN"/>
              </w:rPr>
            </w:pPr>
            <w:r w:rsidRPr="00252E16">
              <w:rPr>
                <w:rFonts w:ascii="Garamond" w:eastAsia="Times New Roman" w:hAnsi="Garamond" w:cs="Calibri"/>
                <w:b/>
                <w:bCs/>
                <w:sz w:val="20"/>
                <w:szCs w:val="20"/>
                <w:lang w:eastAsia="en-GB" w:bidi="hi-IN"/>
              </w:rPr>
              <w:t>Developed Markets</w:t>
            </w:r>
          </w:p>
        </w:tc>
      </w:tr>
      <w:tr w:rsidR="002240ED" w:rsidRPr="00252E16" w:rsidTr="002240ED">
        <w:trPr>
          <w:trHeight w:val="240"/>
          <w:jc w:val="center"/>
        </w:trPr>
        <w:tc>
          <w:tcPr>
            <w:tcW w:w="1165" w:type="dxa"/>
            <w:tcBorders>
              <w:top w:val="single" w:sz="4" w:space="0" w:color="auto"/>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USA</w:t>
            </w:r>
          </w:p>
        </w:tc>
        <w:tc>
          <w:tcPr>
            <w:tcW w:w="2449" w:type="dxa"/>
            <w:tcBorders>
              <w:top w:val="single" w:sz="4" w:space="0" w:color="auto"/>
              <w:left w:val="single" w:sz="4" w:space="0" w:color="auto"/>
              <w:bottom w:val="nil"/>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18"/>
                <w:szCs w:val="18"/>
                <w:lang w:eastAsia="en-GB" w:bidi="hi-IN"/>
              </w:rPr>
            </w:pPr>
            <w:r w:rsidRPr="00252E16">
              <w:rPr>
                <w:rFonts w:ascii="Garamond" w:eastAsia="Times New Roman" w:hAnsi="Garamond" w:cs="Calibri"/>
                <w:sz w:val="18"/>
                <w:szCs w:val="18"/>
                <w:lang w:eastAsia="en-GB" w:bidi="hi-IN"/>
              </w:rPr>
              <w:t xml:space="preserve">NASDAQ COMPOSITE </w:t>
            </w:r>
          </w:p>
        </w:tc>
        <w:tc>
          <w:tcPr>
            <w:tcW w:w="1201" w:type="dxa"/>
            <w:tcBorders>
              <w:top w:val="single" w:sz="4" w:space="0" w:color="auto"/>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7999.3</w:t>
            </w:r>
          </w:p>
        </w:tc>
        <w:tc>
          <w:tcPr>
            <w:tcW w:w="959" w:type="dxa"/>
            <w:tcBorders>
              <w:top w:val="single" w:sz="4" w:space="0" w:color="auto"/>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7962.9</w:t>
            </w:r>
          </w:p>
        </w:tc>
        <w:tc>
          <w:tcPr>
            <w:tcW w:w="900" w:type="dxa"/>
            <w:tcBorders>
              <w:top w:val="single" w:sz="4" w:space="0" w:color="auto"/>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8006.2</w:t>
            </w:r>
          </w:p>
        </w:tc>
        <w:tc>
          <w:tcPr>
            <w:tcW w:w="900" w:type="dxa"/>
            <w:tcBorders>
              <w:top w:val="single" w:sz="4" w:space="0" w:color="auto"/>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7729.3</w:t>
            </w:r>
          </w:p>
        </w:tc>
        <w:tc>
          <w:tcPr>
            <w:tcW w:w="723" w:type="dxa"/>
            <w:tcBorders>
              <w:top w:val="single" w:sz="4" w:space="0" w:color="auto"/>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8046.4</w:t>
            </w:r>
          </w:p>
        </w:tc>
        <w:tc>
          <w:tcPr>
            <w:tcW w:w="1071" w:type="dxa"/>
            <w:tcBorders>
              <w:top w:val="single" w:sz="4" w:space="0" w:color="auto"/>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16.3</w:t>
            </w:r>
          </w:p>
        </w:tc>
        <w:tc>
          <w:tcPr>
            <w:tcW w:w="636" w:type="dxa"/>
            <w:tcBorders>
              <w:top w:val="single" w:sz="4" w:space="0" w:color="auto"/>
              <w:lef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31.4</w:t>
            </w:r>
          </w:p>
        </w:tc>
      </w:tr>
      <w:tr w:rsidR="002240ED" w:rsidRPr="00252E16" w:rsidTr="002240ED">
        <w:trPr>
          <w:trHeight w:val="240"/>
          <w:jc w:val="center"/>
        </w:trPr>
        <w:tc>
          <w:tcPr>
            <w:tcW w:w="1165" w:type="dxa"/>
            <w:tcBorders>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USA</w:t>
            </w:r>
          </w:p>
        </w:tc>
        <w:tc>
          <w:tcPr>
            <w:tcW w:w="2449" w:type="dxa"/>
            <w:tcBorders>
              <w:top w:val="nil"/>
              <w:left w:val="single" w:sz="4" w:space="0" w:color="auto"/>
              <w:bottom w:val="nil"/>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18"/>
                <w:szCs w:val="18"/>
                <w:lang w:eastAsia="en-GB" w:bidi="hi-IN"/>
              </w:rPr>
            </w:pPr>
            <w:r w:rsidRPr="00252E16">
              <w:rPr>
                <w:rFonts w:ascii="Garamond" w:eastAsia="Times New Roman" w:hAnsi="Garamond" w:cs="Calibri"/>
                <w:sz w:val="18"/>
                <w:szCs w:val="18"/>
                <w:lang w:eastAsia="en-GB" w:bidi="hi-IN"/>
              </w:rPr>
              <w:t>DOW JONES INDUS. AVG</w:t>
            </w:r>
          </w:p>
        </w:tc>
        <w:tc>
          <w:tcPr>
            <w:tcW w:w="120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26916.8</w:t>
            </w:r>
          </w:p>
        </w:tc>
        <w:tc>
          <w:tcPr>
            <w:tcW w:w="959"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26403.3</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26600.0</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25928.7</w:t>
            </w:r>
          </w:p>
        </w:tc>
        <w:tc>
          <w:tcPr>
            <w:tcW w:w="723"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26458.3</w:t>
            </w:r>
          </w:p>
        </w:tc>
        <w:tc>
          <w:tcPr>
            <w:tcW w:w="107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12.5</w:t>
            </w:r>
          </w:p>
        </w:tc>
        <w:tc>
          <w:tcPr>
            <w:tcW w:w="636" w:type="dxa"/>
            <w:tcBorders>
              <w:lef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18.0</w:t>
            </w:r>
          </w:p>
        </w:tc>
      </w:tr>
      <w:tr w:rsidR="002240ED" w:rsidRPr="00252E16" w:rsidTr="002240ED">
        <w:trPr>
          <w:trHeight w:val="240"/>
          <w:jc w:val="center"/>
        </w:trPr>
        <w:tc>
          <w:tcPr>
            <w:tcW w:w="1165" w:type="dxa"/>
            <w:tcBorders>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France</w:t>
            </w:r>
          </w:p>
        </w:tc>
        <w:tc>
          <w:tcPr>
            <w:tcW w:w="2449" w:type="dxa"/>
            <w:tcBorders>
              <w:top w:val="nil"/>
              <w:left w:val="single" w:sz="4" w:space="0" w:color="auto"/>
              <w:bottom w:val="nil"/>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18"/>
                <w:szCs w:val="18"/>
                <w:lang w:eastAsia="en-GB" w:bidi="hi-IN"/>
              </w:rPr>
            </w:pPr>
            <w:r w:rsidRPr="00252E16">
              <w:rPr>
                <w:rFonts w:ascii="Garamond" w:eastAsia="Times New Roman" w:hAnsi="Garamond" w:cs="Calibri"/>
                <w:sz w:val="18"/>
                <w:szCs w:val="18"/>
                <w:lang w:eastAsia="en-GB" w:bidi="hi-IN"/>
              </w:rPr>
              <w:t xml:space="preserve">CAC 40 </w:t>
            </w:r>
          </w:p>
        </w:tc>
        <w:tc>
          <w:tcPr>
            <w:tcW w:w="120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5677.8</w:t>
            </w:r>
          </w:p>
        </w:tc>
        <w:tc>
          <w:tcPr>
            <w:tcW w:w="959"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5480.5</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5539.0</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5350.5</w:t>
            </w:r>
          </w:p>
        </w:tc>
        <w:tc>
          <w:tcPr>
            <w:tcW w:w="723"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5493.5</w:t>
            </w:r>
          </w:p>
        </w:tc>
        <w:tc>
          <w:tcPr>
            <w:tcW w:w="107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13.3</w:t>
            </w:r>
          </w:p>
        </w:tc>
        <w:tc>
          <w:tcPr>
            <w:tcW w:w="636" w:type="dxa"/>
            <w:tcBorders>
              <w:lef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19.5</w:t>
            </w:r>
          </w:p>
        </w:tc>
      </w:tr>
      <w:tr w:rsidR="002240ED" w:rsidRPr="00252E16" w:rsidTr="002240ED">
        <w:trPr>
          <w:trHeight w:val="240"/>
          <w:jc w:val="center"/>
        </w:trPr>
        <w:tc>
          <w:tcPr>
            <w:tcW w:w="1165" w:type="dxa"/>
            <w:tcBorders>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Germany</w:t>
            </w:r>
          </w:p>
        </w:tc>
        <w:tc>
          <w:tcPr>
            <w:tcW w:w="2449" w:type="dxa"/>
            <w:tcBorders>
              <w:top w:val="nil"/>
              <w:left w:val="single" w:sz="4" w:space="0" w:color="auto"/>
              <w:bottom w:val="nil"/>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18"/>
                <w:szCs w:val="18"/>
                <w:lang w:eastAsia="en-GB" w:bidi="hi-IN"/>
              </w:rPr>
            </w:pPr>
            <w:r w:rsidRPr="00252E16">
              <w:rPr>
                <w:rFonts w:ascii="Garamond" w:eastAsia="Times New Roman" w:hAnsi="Garamond" w:cs="Calibri"/>
                <w:sz w:val="18"/>
                <w:szCs w:val="18"/>
                <w:lang w:eastAsia="en-GB" w:bidi="hi-IN"/>
              </w:rPr>
              <w:t xml:space="preserve">DAX </w:t>
            </w:r>
          </w:p>
        </w:tc>
        <w:tc>
          <w:tcPr>
            <w:tcW w:w="120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12428.1</w:t>
            </w:r>
          </w:p>
        </w:tc>
        <w:tc>
          <w:tcPr>
            <w:tcW w:w="959"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11939.3</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12398.8</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11526.0</w:t>
            </w:r>
          </w:p>
        </w:tc>
        <w:tc>
          <w:tcPr>
            <w:tcW w:w="723"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12246.7</w:t>
            </w:r>
          </w:p>
        </w:tc>
        <w:tc>
          <w:tcPr>
            <w:tcW w:w="107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13.6</w:t>
            </w:r>
          </w:p>
        </w:tc>
        <w:tc>
          <w:tcPr>
            <w:tcW w:w="636" w:type="dxa"/>
            <w:tcBorders>
              <w:lef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20.2</w:t>
            </w:r>
          </w:p>
        </w:tc>
      </w:tr>
      <w:tr w:rsidR="002240ED" w:rsidRPr="00252E16" w:rsidTr="002240ED">
        <w:trPr>
          <w:trHeight w:val="240"/>
          <w:jc w:val="center"/>
        </w:trPr>
        <w:tc>
          <w:tcPr>
            <w:tcW w:w="1165" w:type="dxa"/>
            <w:tcBorders>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UK</w:t>
            </w:r>
          </w:p>
        </w:tc>
        <w:tc>
          <w:tcPr>
            <w:tcW w:w="2449" w:type="dxa"/>
            <w:tcBorders>
              <w:top w:val="nil"/>
              <w:left w:val="single" w:sz="4" w:space="0" w:color="auto"/>
              <w:bottom w:val="nil"/>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18"/>
                <w:szCs w:val="18"/>
                <w:lang w:eastAsia="en-GB" w:bidi="hi-IN"/>
              </w:rPr>
            </w:pPr>
            <w:r w:rsidRPr="00252E16">
              <w:rPr>
                <w:rFonts w:ascii="Garamond" w:eastAsia="Times New Roman" w:hAnsi="Garamond" w:cs="Calibri"/>
                <w:sz w:val="18"/>
                <w:szCs w:val="18"/>
                <w:lang w:eastAsia="en-GB" w:bidi="hi-IN"/>
              </w:rPr>
              <w:t xml:space="preserve">FTSE 100 </w:t>
            </w:r>
          </w:p>
        </w:tc>
        <w:tc>
          <w:tcPr>
            <w:tcW w:w="120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7408.2</w:t>
            </w:r>
          </w:p>
        </w:tc>
        <w:tc>
          <w:tcPr>
            <w:tcW w:w="959"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7207.2</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7425.6</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7279.2</w:t>
            </w:r>
          </w:p>
        </w:tc>
        <w:tc>
          <w:tcPr>
            <w:tcW w:w="723"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7510.2</w:t>
            </w:r>
          </w:p>
        </w:tc>
        <w:tc>
          <w:tcPr>
            <w:tcW w:w="107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10.7</w:t>
            </w:r>
          </w:p>
        </w:tc>
        <w:tc>
          <w:tcPr>
            <w:tcW w:w="636" w:type="dxa"/>
            <w:tcBorders>
              <w:lef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18.0</w:t>
            </w:r>
          </w:p>
        </w:tc>
      </w:tr>
      <w:tr w:rsidR="002240ED" w:rsidRPr="00252E16" w:rsidTr="002240ED">
        <w:trPr>
          <w:trHeight w:val="240"/>
          <w:jc w:val="center"/>
        </w:trPr>
        <w:tc>
          <w:tcPr>
            <w:tcW w:w="1165" w:type="dxa"/>
            <w:tcBorders>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Hong Kong</w:t>
            </w:r>
          </w:p>
        </w:tc>
        <w:tc>
          <w:tcPr>
            <w:tcW w:w="2449" w:type="dxa"/>
            <w:tcBorders>
              <w:top w:val="nil"/>
              <w:left w:val="single" w:sz="4" w:space="0" w:color="auto"/>
              <w:bottom w:val="nil"/>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18"/>
                <w:szCs w:val="18"/>
                <w:lang w:eastAsia="en-GB" w:bidi="hi-IN"/>
              </w:rPr>
            </w:pPr>
            <w:r w:rsidRPr="00252E16">
              <w:rPr>
                <w:rFonts w:ascii="Garamond" w:eastAsia="Times New Roman" w:hAnsi="Garamond" w:cs="Calibri"/>
                <w:sz w:val="18"/>
                <w:szCs w:val="18"/>
                <w:lang w:eastAsia="en-GB" w:bidi="hi-IN"/>
              </w:rPr>
              <w:t xml:space="preserve">HANG SENG </w:t>
            </w:r>
          </w:p>
        </w:tc>
        <w:tc>
          <w:tcPr>
            <w:tcW w:w="120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26092.3</w:t>
            </w:r>
          </w:p>
        </w:tc>
        <w:tc>
          <w:tcPr>
            <w:tcW w:w="959"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25724.7</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28542.6</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29051.4</w:t>
            </w:r>
          </w:p>
        </w:tc>
        <w:tc>
          <w:tcPr>
            <w:tcW w:w="723"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27788.5</w:t>
            </w:r>
          </w:p>
        </w:tc>
        <w:tc>
          <w:tcPr>
            <w:tcW w:w="107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15.5</w:t>
            </w:r>
          </w:p>
        </w:tc>
        <w:tc>
          <w:tcPr>
            <w:tcW w:w="636" w:type="dxa"/>
            <w:tcBorders>
              <w:lef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10.2</w:t>
            </w:r>
          </w:p>
        </w:tc>
      </w:tr>
      <w:tr w:rsidR="002240ED" w:rsidRPr="00252E16" w:rsidTr="002240ED">
        <w:trPr>
          <w:trHeight w:val="240"/>
          <w:jc w:val="center"/>
        </w:trPr>
        <w:tc>
          <w:tcPr>
            <w:tcW w:w="1165" w:type="dxa"/>
            <w:tcBorders>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South Korea</w:t>
            </w:r>
          </w:p>
        </w:tc>
        <w:tc>
          <w:tcPr>
            <w:tcW w:w="2449" w:type="dxa"/>
            <w:tcBorders>
              <w:top w:val="nil"/>
              <w:left w:val="single" w:sz="4" w:space="0" w:color="auto"/>
              <w:bottom w:val="nil"/>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18"/>
                <w:szCs w:val="18"/>
                <w:lang w:eastAsia="en-GB" w:bidi="hi-IN"/>
              </w:rPr>
            </w:pPr>
            <w:r w:rsidRPr="00252E16">
              <w:rPr>
                <w:rFonts w:ascii="Garamond" w:eastAsia="Times New Roman" w:hAnsi="Garamond" w:cs="Calibri"/>
                <w:sz w:val="18"/>
                <w:szCs w:val="18"/>
                <w:lang w:eastAsia="en-GB" w:bidi="hi-IN"/>
              </w:rPr>
              <w:t xml:space="preserve">KOSPI </w:t>
            </w:r>
          </w:p>
        </w:tc>
        <w:tc>
          <w:tcPr>
            <w:tcW w:w="120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2063.1</w:t>
            </w:r>
          </w:p>
        </w:tc>
        <w:tc>
          <w:tcPr>
            <w:tcW w:w="959"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1967.8</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2130.6</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2140.7</w:t>
            </w:r>
          </w:p>
        </w:tc>
        <w:tc>
          <w:tcPr>
            <w:tcW w:w="723"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2343.1</w:t>
            </w:r>
          </w:p>
        </w:tc>
        <w:tc>
          <w:tcPr>
            <w:tcW w:w="107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12.3</w:t>
            </w:r>
          </w:p>
        </w:tc>
        <w:tc>
          <w:tcPr>
            <w:tcW w:w="636" w:type="dxa"/>
            <w:tcBorders>
              <w:lef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20.3</w:t>
            </w:r>
          </w:p>
        </w:tc>
      </w:tr>
      <w:tr w:rsidR="002240ED" w:rsidRPr="00252E16" w:rsidTr="002240ED">
        <w:trPr>
          <w:trHeight w:val="240"/>
          <w:jc w:val="center"/>
        </w:trPr>
        <w:tc>
          <w:tcPr>
            <w:tcW w:w="1165" w:type="dxa"/>
            <w:tcBorders>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Japan</w:t>
            </w:r>
          </w:p>
        </w:tc>
        <w:tc>
          <w:tcPr>
            <w:tcW w:w="2449" w:type="dxa"/>
            <w:tcBorders>
              <w:top w:val="nil"/>
              <w:left w:val="single" w:sz="4" w:space="0" w:color="auto"/>
              <w:bottom w:val="nil"/>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18"/>
                <w:szCs w:val="18"/>
                <w:lang w:eastAsia="en-GB" w:bidi="hi-IN"/>
              </w:rPr>
            </w:pPr>
            <w:r w:rsidRPr="00252E16">
              <w:rPr>
                <w:rFonts w:ascii="Garamond" w:eastAsia="Times New Roman" w:hAnsi="Garamond" w:cs="Calibri"/>
                <w:sz w:val="18"/>
                <w:szCs w:val="18"/>
                <w:lang w:eastAsia="en-GB" w:bidi="hi-IN"/>
              </w:rPr>
              <w:t>NIKKEI 225</w:t>
            </w:r>
          </w:p>
        </w:tc>
        <w:tc>
          <w:tcPr>
            <w:tcW w:w="120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21755.8</w:t>
            </w:r>
          </w:p>
        </w:tc>
        <w:tc>
          <w:tcPr>
            <w:tcW w:w="959"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20704.4</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21275.9</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21205.8</w:t>
            </w:r>
          </w:p>
        </w:tc>
        <w:tc>
          <w:tcPr>
            <w:tcW w:w="723"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24120.0</w:t>
            </w:r>
          </w:p>
        </w:tc>
        <w:tc>
          <w:tcPr>
            <w:tcW w:w="107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13.4</w:t>
            </w:r>
          </w:p>
        </w:tc>
        <w:tc>
          <w:tcPr>
            <w:tcW w:w="636" w:type="dxa"/>
            <w:tcBorders>
              <w:lef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20.2</w:t>
            </w:r>
          </w:p>
        </w:tc>
      </w:tr>
      <w:tr w:rsidR="002240ED" w:rsidRPr="00252E16" w:rsidTr="002240ED">
        <w:trPr>
          <w:trHeight w:val="240"/>
          <w:jc w:val="center"/>
        </w:trPr>
        <w:tc>
          <w:tcPr>
            <w:tcW w:w="1165" w:type="dxa"/>
            <w:tcBorders>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Singapore</w:t>
            </w:r>
          </w:p>
        </w:tc>
        <w:tc>
          <w:tcPr>
            <w:tcW w:w="2449" w:type="dxa"/>
            <w:tcBorders>
              <w:top w:val="nil"/>
              <w:left w:val="single" w:sz="4" w:space="0" w:color="auto"/>
              <w:bottom w:val="nil"/>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18"/>
                <w:szCs w:val="18"/>
                <w:lang w:eastAsia="en-GB" w:bidi="hi-IN"/>
              </w:rPr>
            </w:pPr>
            <w:r w:rsidRPr="00252E16">
              <w:rPr>
                <w:rFonts w:ascii="Garamond" w:eastAsia="Times New Roman" w:hAnsi="Garamond" w:cs="Calibri"/>
                <w:sz w:val="18"/>
                <w:szCs w:val="18"/>
                <w:lang w:eastAsia="en-GB" w:bidi="hi-IN"/>
              </w:rPr>
              <w:t>STRAITS TIMES  STI</w:t>
            </w:r>
          </w:p>
        </w:tc>
        <w:tc>
          <w:tcPr>
            <w:tcW w:w="120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3120.0</w:t>
            </w:r>
          </w:p>
        </w:tc>
        <w:tc>
          <w:tcPr>
            <w:tcW w:w="959"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3106.5</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3321.6</w:t>
            </w:r>
          </w:p>
        </w:tc>
        <w:tc>
          <w:tcPr>
            <w:tcW w:w="900"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3212.9</w:t>
            </w:r>
          </w:p>
        </w:tc>
        <w:tc>
          <w:tcPr>
            <w:tcW w:w="723"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3257.1</w:t>
            </w:r>
          </w:p>
        </w:tc>
        <w:tc>
          <w:tcPr>
            <w:tcW w:w="1071" w:type="dxa"/>
            <w:tcBorders>
              <w:top w:val="nil"/>
              <w:left w:val="single" w:sz="4" w:space="0" w:color="auto"/>
              <w:bottom w:val="nil"/>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10.0</w:t>
            </w:r>
          </w:p>
        </w:tc>
        <w:tc>
          <w:tcPr>
            <w:tcW w:w="636" w:type="dxa"/>
            <w:tcBorders>
              <w:lef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11.6</w:t>
            </w:r>
          </w:p>
        </w:tc>
      </w:tr>
      <w:tr w:rsidR="002240ED" w:rsidRPr="00252E16" w:rsidTr="002240ED">
        <w:trPr>
          <w:trHeight w:val="240"/>
          <w:jc w:val="center"/>
        </w:trPr>
        <w:tc>
          <w:tcPr>
            <w:tcW w:w="1165" w:type="dxa"/>
            <w:tcBorders>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Taiwan</w:t>
            </w:r>
          </w:p>
        </w:tc>
        <w:tc>
          <w:tcPr>
            <w:tcW w:w="2449" w:type="dxa"/>
            <w:tcBorders>
              <w:top w:val="nil"/>
              <w:left w:val="single" w:sz="4" w:space="0" w:color="auto"/>
              <w:bottom w:val="single" w:sz="4" w:space="0" w:color="auto"/>
              <w:right w:val="single" w:sz="4" w:space="0" w:color="auto"/>
            </w:tcBorders>
            <w:shd w:val="clear" w:color="000000" w:fill="D9E1F2"/>
            <w:noWrap/>
            <w:hideMark/>
          </w:tcPr>
          <w:p w:rsidR="002240ED" w:rsidRPr="00252E16" w:rsidRDefault="002240ED" w:rsidP="002240ED">
            <w:pPr>
              <w:rPr>
                <w:rFonts w:ascii="Garamond" w:eastAsia="Times New Roman" w:hAnsi="Garamond" w:cs="Calibri"/>
                <w:sz w:val="18"/>
                <w:szCs w:val="18"/>
                <w:lang w:eastAsia="en-GB" w:bidi="hi-IN"/>
              </w:rPr>
            </w:pPr>
            <w:r w:rsidRPr="00252E16">
              <w:rPr>
                <w:rFonts w:ascii="Garamond" w:eastAsia="Times New Roman" w:hAnsi="Garamond" w:cs="Calibri"/>
                <w:sz w:val="18"/>
                <w:szCs w:val="18"/>
                <w:lang w:eastAsia="en-GB" w:bidi="hi-IN"/>
              </w:rPr>
              <w:t xml:space="preserve">TAIWAN TAIEX </w:t>
            </w:r>
          </w:p>
        </w:tc>
        <w:tc>
          <w:tcPr>
            <w:tcW w:w="1201" w:type="dxa"/>
            <w:tcBorders>
              <w:top w:val="nil"/>
              <w:left w:val="single" w:sz="4" w:space="0" w:color="auto"/>
              <w:bottom w:val="single" w:sz="4" w:space="0" w:color="auto"/>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10829.7</w:t>
            </w:r>
          </w:p>
        </w:tc>
        <w:tc>
          <w:tcPr>
            <w:tcW w:w="959" w:type="dxa"/>
            <w:tcBorders>
              <w:top w:val="nil"/>
              <w:left w:val="single" w:sz="4" w:space="0" w:color="auto"/>
              <w:bottom w:val="single" w:sz="4" w:space="0" w:color="auto"/>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10618.1</w:t>
            </w:r>
          </w:p>
        </w:tc>
        <w:tc>
          <w:tcPr>
            <w:tcW w:w="900" w:type="dxa"/>
            <w:tcBorders>
              <w:top w:val="nil"/>
              <w:left w:val="single" w:sz="4" w:space="0" w:color="auto"/>
              <w:bottom w:val="single" w:sz="4" w:space="0" w:color="auto"/>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10730.8</w:t>
            </w:r>
          </w:p>
        </w:tc>
        <w:tc>
          <w:tcPr>
            <w:tcW w:w="900" w:type="dxa"/>
            <w:tcBorders>
              <w:top w:val="nil"/>
              <w:left w:val="single" w:sz="4" w:space="0" w:color="auto"/>
              <w:bottom w:val="single" w:sz="4" w:space="0" w:color="auto"/>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10641.0</w:t>
            </w:r>
          </w:p>
        </w:tc>
        <w:tc>
          <w:tcPr>
            <w:tcW w:w="723" w:type="dxa"/>
            <w:tcBorders>
              <w:top w:val="nil"/>
              <w:left w:val="single" w:sz="4" w:space="0" w:color="auto"/>
              <w:bottom w:val="single" w:sz="4" w:space="0" w:color="auto"/>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11006.3</w:t>
            </w:r>
          </w:p>
        </w:tc>
        <w:tc>
          <w:tcPr>
            <w:tcW w:w="1071" w:type="dxa"/>
            <w:tcBorders>
              <w:top w:val="nil"/>
              <w:left w:val="single" w:sz="4" w:space="0" w:color="auto"/>
              <w:bottom w:val="single" w:sz="4" w:space="0" w:color="auto"/>
              <w:righ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10.4</w:t>
            </w:r>
          </w:p>
        </w:tc>
        <w:tc>
          <w:tcPr>
            <w:tcW w:w="636" w:type="dxa"/>
            <w:tcBorders>
              <w:left w:val="single" w:sz="4" w:space="0" w:color="auto"/>
            </w:tcBorders>
            <w:shd w:val="clear" w:color="auto" w:fill="auto"/>
            <w:noWrap/>
            <w:hideMark/>
          </w:tcPr>
          <w:p w:rsidR="002240ED" w:rsidRPr="00252E16" w:rsidRDefault="002240ED" w:rsidP="002240ED">
            <w:pPr>
              <w:jc w:val="right"/>
              <w:rPr>
                <w:rFonts w:ascii="Garamond" w:eastAsia="Times New Roman" w:hAnsi="Garamond" w:cs="Calibri"/>
                <w:sz w:val="20"/>
                <w:szCs w:val="20"/>
                <w:lang w:eastAsia="en-GB" w:bidi="hi-IN"/>
              </w:rPr>
            </w:pPr>
            <w:r w:rsidRPr="00252E16">
              <w:rPr>
                <w:rFonts w:ascii="Garamond" w:eastAsia="Times New Roman" w:hAnsi="Garamond" w:cs="Calibri"/>
                <w:sz w:val="20"/>
                <w:szCs w:val="20"/>
                <w:lang w:eastAsia="en-GB" w:bidi="hi-IN"/>
              </w:rPr>
              <w:t>15.5</w:t>
            </w:r>
          </w:p>
        </w:tc>
      </w:tr>
    </w:tbl>
    <w:p w:rsidR="002240ED" w:rsidRPr="00252E16" w:rsidRDefault="002240ED" w:rsidP="002240ED">
      <w:pPr>
        <w:jc w:val="both"/>
        <w:rPr>
          <w:rFonts w:ascii="Garamond" w:hAnsi="Garamond" w:cs="Arial"/>
          <w:sz w:val="20"/>
          <w:szCs w:val="26"/>
        </w:rPr>
      </w:pPr>
      <w:r w:rsidRPr="00252E16">
        <w:rPr>
          <w:rFonts w:ascii="Garamond" w:hAnsi="Garamond" w:cs="Arial"/>
          <w:b/>
          <w:bCs/>
          <w:sz w:val="20"/>
          <w:szCs w:val="26"/>
        </w:rPr>
        <w:t>Note:</w:t>
      </w:r>
      <w:r w:rsidRPr="00252E16">
        <w:rPr>
          <w:rFonts w:ascii="Garamond" w:hAnsi="Garamond" w:cs="Arial"/>
          <w:sz w:val="20"/>
          <w:szCs w:val="26"/>
        </w:rPr>
        <w:t>P/E Ratios as on the last trading day.</w:t>
      </w:r>
    </w:p>
    <w:p w:rsidR="002240ED" w:rsidRPr="00252E16" w:rsidRDefault="002240ED" w:rsidP="002240ED">
      <w:pPr>
        <w:jc w:val="both"/>
        <w:rPr>
          <w:rFonts w:ascii="Garamond" w:hAnsi="Garamond" w:cs="Arial"/>
          <w:sz w:val="20"/>
          <w:szCs w:val="26"/>
        </w:rPr>
      </w:pPr>
      <w:r w:rsidRPr="00252E16">
        <w:rPr>
          <w:rFonts w:ascii="Garamond" w:hAnsi="Garamond" w:cs="Arial"/>
          <w:b/>
          <w:bCs/>
          <w:sz w:val="20"/>
          <w:szCs w:val="26"/>
        </w:rPr>
        <w:t xml:space="preserve"> Source:</w:t>
      </w:r>
      <w:r w:rsidRPr="00252E16">
        <w:rPr>
          <w:rFonts w:ascii="Garamond" w:hAnsi="Garamond" w:cs="Arial"/>
          <w:sz w:val="20"/>
          <w:szCs w:val="26"/>
        </w:rPr>
        <w:t xml:space="preserve"> Bloomberg, BSE and NSE</w:t>
      </w:r>
    </w:p>
    <w:p w:rsidR="002240ED" w:rsidRPr="00842D76" w:rsidRDefault="002240ED" w:rsidP="002240ED">
      <w:pPr>
        <w:rPr>
          <w:rFonts w:ascii="Garamond" w:eastAsia="Times New Roman" w:hAnsi="Garamond" w:cs="Arial"/>
          <w:b/>
          <w:color w:val="0070C0"/>
        </w:rPr>
      </w:pPr>
    </w:p>
    <w:p w:rsidR="002240ED" w:rsidRDefault="002240ED" w:rsidP="002240ED">
      <w:pPr>
        <w:rPr>
          <w:rFonts w:ascii="Garamond" w:hAnsi="Garamond" w:cs="Arial"/>
          <w:b/>
        </w:rPr>
      </w:pPr>
      <w:r>
        <w:rPr>
          <w:rFonts w:ascii="Garamond" w:hAnsi="Garamond" w:cs="Arial"/>
          <w:b/>
        </w:rPr>
        <w:br w:type="page"/>
      </w:r>
    </w:p>
    <w:p w:rsidR="002240ED" w:rsidRPr="00234039" w:rsidRDefault="002240ED" w:rsidP="002240ED">
      <w:pPr>
        <w:jc w:val="both"/>
        <w:outlineLvl w:val="0"/>
        <w:rPr>
          <w:rFonts w:ascii="Garamond" w:hAnsi="Garamond" w:cs="Arial"/>
          <w:b/>
        </w:rPr>
      </w:pPr>
      <w:r w:rsidRPr="00234039">
        <w:rPr>
          <w:rFonts w:ascii="Garamond" w:hAnsi="Garamond" w:cs="Arial"/>
          <w:b/>
        </w:rPr>
        <w:lastRenderedPageBreak/>
        <w:t>Chart 1: Stock Market Trend in Select Developed Markets</w:t>
      </w:r>
    </w:p>
    <w:p w:rsidR="002240ED" w:rsidRPr="00234039" w:rsidRDefault="002240ED" w:rsidP="002240ED">
      <w:pPr>
        <w:jc w:val="both"/>
        <w:outlineLvl w:val="0"/>
        <w:rPr>
          <w:rFonts w:ascii="Garamond" w:hAnsi="Garamond" w:cs="Arial"/>
          <w:b/>
        </w:rPr>
      </w:pPr>
    </w:p>
    <w:p w:rsidR="002240ED" w:rsidRPr="00234039" w:rsidRDefault="002240ED" w:rsidP="002240ED">
      <w:pPr>
        <w:jc w:val="both"/>
        <w:outlineLvl w:val="0"/>
        <w:rPr>
          <w:rFonts w:ascii="Garamond" w:hAnsi="Garamond" w:cs="Arial"/>
          <w:b/>
        </w:rPr>
      </w:pPr>
      <w:r w:rsidRPr="00234039">
        <w:rPr>
          <w:noProof/>
          <w:lang w:val="en-US" w:bidi="hi-IN"/>
        </w:rPr>
        <w:drawing>
          <wp:inline distT="0" distB="0" distL="0" distR="0" wp14:anchorId="4C29E31A" wp14:editId="7DFA2BA4">
            <wp:extent cx="5923280" cy="3745149"/>
            <wp:effectExtent l="0" t="0" r="127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240ED" w:rsidRPr="00234039" w:rsidRDefault="002240ED" w:rsidP="002240ED">
      <w:pPr>
        <w:jc w:val="both"/>
        <w:outlineLvl w:val="0"/>
        <w:rPr>
          <w:rFonts w:ascii="Garamond" w:hAnsi="Garamond" w:cs="Arial"/>
          <w:b/>
        </w:rPr>
      </w:pPr>
    </w:p>
    <w:p w:rsidR="002240ED" w:rsidRPr="00234039" w:rsidRDefault="002240ED" w:rsidP="002240ED">
      <w:pPr>
        <w:jc w:val="both"/>
        <w:outlineLvl w:val="0"/>
        <w:rPr>
          <w:rFonts w:ascii="Garamond" w:hAnsi="Garamond" w:cs="Arial"/>
          <w:b/>
        </w:rPr>
      </w:pPr>
      <w:r w:rsidRPr="00234039">
        <w:rPr>
          <w:rFonts w:ascii="Garamond" w:hAnsi="Garamond"/>
          <w:b/>
          <w:sz w:val="20"/>
        </w:rPr>
        <w:t>Source:</w:t>
      </w:r>
      <w:r w:rsidRPr="00234039">
        <w:rPr>
          <w:rFonts w:ascii="Garamond" w:hAnsi="Garamond"/>
          <w:sz w:val="20"/>
        </w:rPr>
        <w:t xml:space="preserve"> Bloomberg</w:t>
      </w:r>
    </w:p>
    <w:p w:rsidR="002240ED" w:rsidRPr="00234039" w:rsidRDefault="002240ED" w:rsidP="002240ED">
      <w:pPr>
        <w:jc w:val="both"/>
        <w:outlineLvl w:val="0"/>
        <w:rPr>
          <w:rFonts w:ascii="Garamond" w:hAnsi="Garamond" w:cs="Arial"/>
          <w:sz w:val="20"/>
        </w:rPr>
      </w:pPr>
      <w:r w:rsidRPr="00234039">
        <w:rPr>
          <w:rFonts w:ascii="Garamond" w:hAnsi="Garamond"/>
          <w:b/>
          <w:sz w:val="20"/>
        </w:rPr>
        <w:t>Note:</w:t>
      </w:r>
      <w:r w:rsidRPr="00234039">
        <w:rPr>
          <w:rFonts w:ascii="Garamond" w:hAnsi="Garamond"/>
          <w:sz w:val="20"/>
        </w:rPr>
        <w:t xml:space="preserve"> All indices have been </w:t>
      </w:r>
      <w:r w:rsidRPr="00234039">
        <w:rPr>
          <w:rFonts w:ascii="Garamond" w:hAnsi="Garamond" w:cs="Arial"/>
          <w:sz w:val="20"/>
        </w:rPr>
        <w:t>indexed with base as January 01, 2019</w:t>
      </w:r>
    </w:p>
    <w:p w:rsidR="002240ED" w:rsidRPr="00BE4BB4" w:rsidRDefault="002240ED" w:rsidP="002240ED">
      <w:pPr>
        <w:rPr>
          <w:rFonts w:ascii="Garamond" w:hAnsi="Garamond" w:cs="Arial"/>
          <w:b/>
        </w:rPr>
      </w:pPr>
      <w:r w:rsidRPr="00842D76">
        <w:rPr>
          <w:rFonts w:ascii="Garamond" w:hAnsi="Garamond" w:cs="Arial"/>
          <w:b/>
          <w:color w:val="0070C0"/>
        </w:rPr>
        <w:br w:type="page"/>
      </w:r>
      <w:r w:rsidRPr="00BE4BB4">
        <w:rPr>
          <w:rFonts w:ascii="Garamond" w:hAnsi="Garamond" w:cs="Arial"/>
          <w:b/>
        </w:rPr>
        <w:lastRenderedPageBreak/>
        <w:t>Chart 2: Stock Market Trend in Select Emerging Markets</w:t>
      </w:r>
    </w:p>
    <w:p w:rsidR="002240ED" w:rsidRPr="00BE4BB4" w:rsidRDefault="002240ED" w:rsidP="002240ED">
      <w:pPr>
        <w:jc w:val="both"/>
        <w:outlineLvl w:val="0"/>
        <w:rPr>
          <w:rFonts w:ascii="Garamond" w:hAnsi="Garamond" w:cs="Arial"/>
          <w:b/>
        </w:rPr>
      </w:pPr>
    </w:p>
    <w:p w:rsidR="002240ED" w:rsidRPr="00BE4BB4" w:rsidRDefault="002240ED" w:rsidP="002240ED">
      <w:pPr>
        <w:jc w:val="both"/>
        <w:outlineLvl w:val="0"/>
        <w:rPr>
          <w:rFonts w:ascii="Garamond" w:hAnsi="Garamond" w:cs="Arial"/>
          <w:b/>
        </w:rPr>
      </w:pPr>
      <w:r w:rsidRPr="00BE4BB4">
        <w:rPr>
          <w:noProof/>
          <w:lang w:val="en-US" w:bidi="hi-IN"/>
        </w:rPr>
        <w:drawing>
          <wp:inline distT="0" distB="0" distL="0" distR="0" wp14:anchorId="0169328F" wp14:editId="3BC554B7">
            <wp:extent cx="5923280" cy="4060190"/>
            <wp:effectExtent l="0" t="0" r="1270" b="165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240ED" w:rsidRPr="00BE4BB4" w:rsidRDefault="002240ED" w:rsidP="002240ED">
      <w:pPr>
        <w:jc w:val="both"/>
        <w:outlineLvl w:val="0"/>
        <w:rPr>
          <w:rFonts w:ascii="Garamond" w:hAnsi="Garamond" w:cs="Arial"/>
          <w:b/>
        </w:rPr>
      </w:pPr>
    </w:p>
    <w:p w:rsidR="002240ED" w:rsidRPr="00BE4BB4" w:rsidRDefault="002240ED" w:rsidP="002240ED">
      <w:pPr>
        <w:jc w:val="both"/>
        <w:outlineLvl w:val="0"/>
        <w:rPr>
          <w:rFonts w:ascii="Garamond" w:hAnsi="Garamond" w:cs="Arial"/>
          <w:b/>
        </w:rPr>
      </w:pPr>
      <w:r w:rsidRPr="00BE4BB4">
        <w:rPr>
          <w:rFonts w:ascii="Garamond" w:hAnsi="Garamond"/>
          <w:b/>
          <w:sz w:val="20"/>
        </w:rPr>
        <w:t>Source:</w:t>
      </w:r>
      <w:r w:rsidRPr="00BE4BB4">
        <w:rPr>
          <w:rFonts w:ascii="Garamond" w:hAnsi="Garamond"/>
          <w:sz w:val="20"/>
        </w:rPr>
        <w:t xml:space="preserve"> Bloomberg</w:t>
      </w:r>
    </w:p>
    <w:p w:rsidR="002240ED" w:rsidRPr="00BE4BB4" w:rsidRDefault="002240ED" w:rsidP="002240ED">
      <w:pPr>
        <w:jc w:val="both"/>
        <w:outlineLvl w:val="0"/>
        <w:rPr>
          <w:rFonts w:ascii="Garamond" w:hAnsi="Garamond"/>
          <w:sz w:val="20"/>
        </w:rPr>
      </w:pPr>
      <w:r w:rsidRPr="00BE4BB4">
        <w:rPr>
          <w:rFonts w:ascii="Garamond" w:hAnsi="Garamond"/>
          <w:b/>
          <w:sz w:val="20"/>
        </w:rPr>
        <w:t>Note:</w:t>
      </w:r>
      <w:r w:rsidRPr="00BE4BB4">
        <w:rPr>
          <w:rFonts w:ascii="Garamond" w:hAnsi="Garamond"/>
          <w:sz w:val="20"/>
        </w:rPr>
        <w:t xml:space="preserve"> All indices have been </w:t>
      </w:r>
      <w:r w:rsidRPr="00BE4BB4">
        <w:rPr>
          <w:rFonts w:ascii="Garamond" w:hAnsi="Garamond" w:cs="Arial"/>
          <w:sz w:val="20"/>
        </w:rPr>
        <w:t>indexed with base as January 01, 2019.</w:t>
      </w:r>
    </w:p>
    <w:p w:rsidR="002240ED" w:rsidRPr="00842D76" w:rsidRDefault="002240ED" w:rsidP="002240ED">
      <w:pPr>
        <w:rPr>
          <w:rFonts w:ascii="Garamond" w:hAnsi="Garamond" w:cs="Arial"/>
          <w:b/>
          <w:color w:val="0070C0"/>
        </w:rPr>
      </w:pPr>
    </w:p>
    <w:p w:rsidR="002240ED" w:rsidRPr="007E5A48" w:rsidRDefault="002240ED" w:rsidP="002240ED">
      <w:pPr>
        <w:jc w:val="both"/>
        <w:outlineLvl w:val="0"/>
        <w:rPr>
          <w:rFonts w:ascii="Garamond" w:hAnsi="Garamond" w:cs="Arial"/>
          <w:b/>
        </w:rPr>
      </w:pPr>
      <w:r w:rsidRPr="007E5A48">
        <w:rPr>
          <w:rFonts w:ascii="Garamond" w:hAnsi="Garamond" w:cs="Arial"/>
          <w:b/>
        </w:rPr>
        <w:t>Fund Mobilisation by Issuance of Equity and Bond:</w:t>
      </w:r>
    </w:p>
    <w:p w:rsidR="002240ED" w:rsidRPr="007E5A48" w:rsidRDefault="002240ED" w:rsidP="002240ED">
      <w:pPr>
        <w:jc w:val="both"/>
        <w:rPr>
          <w:rFonts w:ascii="Garamond" w:hAnsi="Garamond" w:cs="Arial"/>
        </w:rPr>
      </w:pPr>
    </w:p>
    <w:p w:rsidR="002240ED" w:rsidRPr="002240ED" w:rsidRDefault="002240ED" w:rsidP="002240ED">
      <w:pPr>
        <w:pStyle w:val="ListParagraph"/>
        <w:numPr>
          <w:ilvl w:val="0"/>
          <w:numId w:val="36"/>
        </w:numPr>
        <w:spacing w:after="0" w:line="240" w:lineRule="auto"/>
        <w:jc w:val="both"/>
        <w:rPr>
          <w:rFonts w:ascii="Palatino Linotype" w:eastAsia="Times New Roman" w:hAnsi="Palatino Linotype" w:cs="Calibri"/>
          <w:sz w:val="22"/>
          <w:szCs w:val="22"/>
          <w:lang w:bidi="hi-IN"/>
        </w:rPr>
      </w:pPr>
      <w:r w:rsidRPr="002240ED">
        <w:rPr>
          <w:rFonts w:ascii="Palatino Linotype" w:eastAsia="Times New Roman" w:hAnsi="Palatino Linotype" w:cs="Calibri"/>
          <w:sz w:val="22"/>
          <w:szCs w:val="22"/>
          <w:lang w:bidi="hi-IN"/>
        </w:rPr>
        <w:t xml:space="preserve">As per the data available from WFE, there is a reduction in resource mobilization during August 2019, both in Equity and Debt.  Data is not available for certain stock exchanges.  </w:t>
      </w:r>
    </w:p>
    <w:p w:rsidR="002240ED" w:rsidRPr="002240ED" w:rsidRDefault="002240ED" w:rsidP="002240ED">
      <w:pPr>
        <w:pStyle w:val="ListParagraph"/>
        <w:numPr>
          <w:ilvl w:val="0"/>
          <w:numId w:val="36"/>
        </w:numPr>
        <w:spacing w:after="0" w:line="240" w:lineRule="auto"/>
        <w:jc w:val="both"/>
        <w:rPr>
          <w:rFonts w:ascii="Palatino Linotype" w:eastAsia="Times New Roman" w:hAnsi="Palatino Linotype" w:cs="Calibri"/>
          <w:color w:val="FF0000"/>
          <w:sz w:val="22"/>
          <w:szCs w:val="22"/>
          <w:lang w:bidi="hi-IN"/>
        </w:rPr>
      </w:pPr>
      <w:r w:rsidRPr="002240ED">
        <w:rPr>
          <w:rFonts w:ascii="Palatino Linotype" w:eastAsia="Times New Roman" w:hAnsi="Palatino Linotype" w:cs="Calibri"/>
          <w:sz w:val="22"/>
          <w:szCs w:val="22"/>
          <w:lang w:bidi="hi-IN"/>
        </w:rPr>
        <w:t>Among the developed nations, Korea Exchange raised $ 42.8 billion ($0.2 billion in equity and 42.6 billion in debt) followed by</w:t>
      </w:r>
      <w:r w:rsidRPr="002240ED">
        <w:rPr>
          <w:rFonts w:ascii="Palatino Linotype" w:hAnsi="Palatino Linotype"/>
          <w:sz w:val="22"/>
          <w:szCs w:val="22"/>
        </w:rPr>
        <w:t xml:space="preserve"> </w:t>
      </w:r>
      <w:r w:rsidRPr="002240ED">
        <w:rPr>
          <w:rFonts w:ascii="Palatino Linotype" w:eastAsia="Times New Roman" w:hAnsi="Palatino Linotype" w:cs="Calibri"/>
          <w:sz w:val="22"/>
          <w:szCs w:val="22"/>
          <w:lang w:bidi="hi-IN"/>
        </w:rPr>
        <w:t xml:space="preserve">Deutsche Boerse AG with $ 32 billion merely through bond issuance.  </w:t>
      </w:r>
    </w:p>
    <w:p w:rsidR="002240ED" w:rsidRPr="002240ED" w:rsidRDefault="002240ED" w:rsidP="002240ED">
      <w:pPr>
        <w:pStyle w:val="ListParagraph"/>
        <w:numPr>
          <w:ilvl w:val="0"/>
          <w:numId w:val="36"/>
        </w:numPr>
        <w:spacing w:after="0" w:line="240" w:lineRule="auto"/>
        <w:jc w:val="both"/>
        <w:rPr>
          <w:rFonts w:ascii="Palatino Linotype" w:eastAsia="Times New Roman" w:hAnsi="Palatino Linotype" w:cs="Calibri"/>
          <w:sz w:val="22"/>
          <w:szCs w:val="22"/>
          <w:lang w:bidi="hi-IN"/>
        </w:rPr>
      </w:pPr>
      <w:r w:rsidRPr="002240ED">
        <w:rPr>
          <w:rFonts w:ascii="Palatino Linotype" w:eastAsia="Times New Roman" w:hAnsi="Palatino Linotype" w:cs="Calibri"/>
          <w:sz w:val="22"/>
          <w:szCs w:val="22"/>
          <w:lang w:bidi="hi-IN"/>
        </w:rPr>
        <w:t xml:space="preserve">Among the BRICS nations, National Stock Exchange raised $ 38.7 billion ($37.7 billion through bond issuance and $1.0 billion through equity issuance), followed by Moscow Stock Exchange with $ 14.5 billion through bond issuance, during August 2019. </w:t>
      </w:r>
    </w:p>
    <w:p w:rsidR="002240ED" w:rsidRPr="00842D76" w:rsidRDefault="002240ED" w:rsidP="002240ED">
      <w:pPr>
        <w:jc w:val="both"/>
        <w:outlineLvl w:val="0"/>
        <w:rPr>
          <w:rFonts w:ascii="Garamond" w:hAnsi="Garamond" w:cs="Arial"/>
          <w:b/>
          <w:color w:val="0070C0"/>
        </w:rPr>
      </w:pPr>
    </w:p>
    <w:p w:rsidR="002240ED" w:rsidRPr="00842D76" w:rsidRDefault="002240ED" w:rsidP="002240ED">
      <w:pPr>
        <w:rPr>
          <w:rFonts w:ascii="Garamond" w:hAnsi="Garamond" w:cs="Arial"/>
          <w:b/>
          <w:color w:val="0070C0"/>
        </w:rPr>
      </w:pPr>
      <w:r w:rsidRPr="00842D76">
        <w:rPr>
          <w:rFonts w:ascii="Garamond" w:hAnsi="Garamond" w:cs="Arial"/>
          <w:b/>
          <w:color w:val="0070C0"/>
        </w:rPr>
        <w:br w:type="page"/>
      </w:r>
    </w:p>
    <w:p w:rsidR="002240ED" w:rsidRPr="000D72D3" w:rsidRDefault="002240ED" w:rsidP="002240ED">
      <w:pPr>
        <w:jc w:val="both"/>
        <w:outlineLvl w:val="0"/>
        <w:rPr>
          <w:rFonts w:ascii="Garamond" w:hAnsi="Garamond" w:cs="Arial"/>
          <w:b/>
        </w:rPr>
      </w:pPr>
      <w:r w:rsidRPr="000D72D3">
        <w:rPr>
          <w:rFonts w:ascii="Garamond" w:hAnsi="Garamond" w:cs="Arial"/>
          <w:b/>
        </w:rPr>
        <w:lastRenderedPageBreak/>
        <w:t>Table A3: Fund Mobilisation by Issuance of Equity and Bond in Major Exchanges</w:t>
      </w:r>
    </w:p>
    <w:p w:rsidR="002240ED" w:rsidRPr="000D72D3" w:rsidRDefault="002240ED" w:rsidP="002240ED">
      <w:pPr>
        <w:jc w:val="right"/>
        <w:outlineLvl w:val="0"/>
        <w:rPr>
          <w:rFonts w:ascii="Garamond" w:hAnsi="Garamond" w:cs="Arial"/>
          <w:sz w:val="20"/>
          <w:szCs w:val="20"/>
        </w:rPr>
      </w:pPr>
      <w:r w:rsidRPr="000D72D3">
        <w:rPr>
          <w:rFonts w:ascii="Garamond" w:hAnsi="Garamond" w:cs="Arial"/>
          <w:sz w:val="20"/>
          <w:szCs w:val="20"/>
        </w:rPr>
        <w:t>(US$ Million)</w:t>
      </w:r>
    </w:p>
    <w:tbl>
      <w:tblPr>
        <w:tblW w:w="8855" w:type="dxa"/>
        <w:tblInd w:w="108" w:type="dxa"/>
        <w:tblLayout w:type="fixed"/>
        <w:tblLook w:val="04A0" w:firstRow="1" w:lastRow="0" w:firstColumn="1" w:lastColumn="0" w:noHBand="0" w:noVBand="1"/>
      </w:tblPr>
      <w:tblGrid>
        <w:gridCol w:w="447"/>
        <w:gridCol w:w="3160"/>
        <w:gridCol w:w="874"/>
        <w:gridCol w:w="874"/>
        <w:gridCol w:w="876"/>
        <w:gridCol w:w="874"/>
        <w:gridCol w:w="874"/>
        <w:gridCol w:w="876"/>
      </w:tblGrid>
      <w:tr w:rsidR="002240ED" w:rsidRPr="000D72D3" w:rsidTr="002240ED">
        <w:trPr>
          <w:cantSplit/>
          <w:trHeight w:val="9"/>
        </w:trPr>
        <w:tc>
          <w:tcPr>
            <w:tcW w:w="447" w:type="dxa"/>
            <w:vMerge w:val="restart"/>
            <w:tcBorders>
              <w:top w:val="single" w:sz="8" w:space="0" w:color="auto"/>
              <w:left w:val="single" w:sz="8" w:space="0" w:color="auto"/>
              <w:bottom w:val="single" w:sz="4" w:space="0" w:color="auto"/>
              <w:right w:val="nil"/>
            </w:tcBorders>
            <w:shd w:val="clear" w:color="000000" w:fill="9BC2E6"/>
            <w:noWrap/>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 </w:t>
            </w:r>
          </w:p>
        </w:tc>
        <w:tc>
          <w:tcPr>
            <w:tcW w:w="3160" w:type="dxa"/>
            <w:vMerge w:val="restart"/>
            <w:tcBorders>
              <w:top w:val="single" w:sz="8" w:space="0" w:color="auto"/>
              <w:left w:val="single" w:sz="4" w:space="0" w:color="auto"/>
              <w:bottom w:val="single" w:sz="4" w:space="0" w:color="auto"/>
              <w:right w:val="single" w:sz="4" w:space="0" w:color="auto"/>
            </w:tcBorders>
            <w:shd w:val="clear" w:color="000000" w:fill="9BC2E6"/>
            <w:noWrap/>
            <w:vAlign w:val="bottom"/>
            <w:hideMark/>
          </w:tcPr>
          <w:p w:rsidR="002240ED" w:rsidRPr="000D72D3" w:rsidRDefault="002240ED" w:rsidP="002240ED">
            <w:pPr>
              <w:spacing w:line="240" w:lineRule="exact"/>
              <w:jc w:val="center"/>
              <w:rPr>
                <w:rFonts w:ascii="Garamond" w:eastAsia="Times New Roman" w:hAnsi="Garamond" w:cs="Calibri"/>
                <w:b/>
                <w:bCs/>
                <w:sz w:val="20"/>
                <w:szCs w:val="20"/>
                <w:lang w:val="en-US" w:bidi="hi-IN"/>
              </w:rPr>
            </w:pPr>
            <w:r w:rsidRPr="000D72D3">
              <w:rPr>
                <w:rFonts w:ascii="Garamond" w:eastAsia="Times New Roman" w:hAnsi="Garamond" w:cs="Calibri"/>
                <w:b/>
                <w:bCs/>
                <w:sz w:val="20"/>
                <w:szCs w:val="20"/>
                <w:lang w:val="en-US" w:bidi="hi-IN"/>
              </w:rPr>
              <w:t>Exchange</w:t>
            </w:r>
          </w:p>
        </w:tc>
        <w:tc>
          <w:tcPr>
            <w:tcW w:w="2624" w:type="dxa"/>
            <w:gridSpan w:val="3"/>
            <w:tcBorders>
              <w:top w:val="single" w:sz="8" w:space="0" w:color="auto"/>
              <w:left w:val="nil"/>
              <w:bottom w:val="single" w:sz="4" w:space="0" w:color="auto"/>
              <w:right w:val="single" w:sz="4" w:space="0" w:color="auto"/>
            </w:tcBorders>
            <w:shd w:val="clear" w:color="000000" w:fill="9BC2E6"/>
            <w:noWrap/>
            <w:vAlign w:val="bottom"/>
            <w:hideMark/>
          </w:tcPr>
          <w:p w:rsidR="002240ED" w:rsidRPr="000D72D3" w:rsidRDefault="002240ED" w:rsidP="002240ED">
            <w:pPr>
              <w:spacing w:line="240" w:lineRule="exact"/>
              <w:jc w:val="center"/>
              <w:rPr>
                <w:rFonts w:ascii="Garamond" w:eastAsia="Times New Roman" w:hAnsi="Garamond" w:cs="Calibri"/>
                <w:b/>
                <w:bCs/>
                <w:sz w:val="20"/>
                <w:szCs w:val="20"/>
                <w:lang w:val="en-US" w:bidi="hi-IN"/>
              </w:rPr>
            </w:pPr>
            <w:r w:rsidRPr="000D72D3">
              <w:rPr>
                <w:rFonts w:ascii="Garamond" w:eastAsia="Times New Roman" w:hAnsi="Garamond" w:cs="Calibri"/>
                <w:b/>
                <w:bCs/>
                <w:sz w:val="20"/>
                <w:szCs w:val="20"/>
                <w:lang w:val="en-US" w:bidi="hi-IN"/>
              </w:rPr>
              <w:t>Jun-19</w:t>
            </w:r>
          </w:p>
        </w:tc>
        <w:tc>
          <w:tcPr>
            <w:tcW w:w="2624" w:type="dxa"/>
            <w:gridSpan w:val="3"/>
            <w:tcBorders>
              <w:top w:val="single" w:sz="8" w:space="0" w:color="auto"/>
              <w:left w:val="nil"/>
              <w:bottom w:val="single" w:sz="4" w:space="0" w:color="auto"/>
              <w:right w:val="single" w:sz="8" w:space="0" w:color="000000"/>
            </w:tcBorders>
            <w:shd w:val="clear" w:color="000000" w:fill="9BC2E6"/>
            <w:noWrap/>
            <w:vAlign w:val="bottom"/>
            <w:hideMark/>
          </w:tcPr>
          <w:p w:rsidR="002240ED" w:rsidRPr="000D72D3" w:rsidRDefault="002240ED" w:rsidP="002240ED">
            <w:pPr>
              <w:spacing w:line="240" w:lineRule="exact"/>
              <w:jc w:val="center"/>
              <w:rPr>
                <w:rFonts w:ascii="Garamond" w:eastAsia="Times New Roman" w:hAnsi="Garamond" w:cs="Calibri"/>
                <w:b/>
                <w:bCs/>
                <w:sz w:val="20"/>
                <w:szCs w:val="20"/>
                <w:lang w:val="en-US" w:bidi="hi-IN"/>
              </w:rPr>
            </w:pPr>
            <w:r w:rsidRPr="000D72D3">
              <w:rPr>
                <w:rFonts w:ascii="Garamond" w:eastAsia="Times New Roman" w:hAnsi="Garamond" w:cs="Calibri"/>
                <w:b/>
                <w:bCs/>
                <w:sz w:val="20"/>
                <w:szCs w:val="20"/>
                <w:lang w:val="en-US" w:bidi="hi-IN"/>
              </w:rPr>
              <w:t>Jul-19</w:t>
            </w:r>
          </w:p>
        </w:tc>
      </w:tr>
      <w:tr w:rsidR="002240ED" w:rsidRPr="000D72D3" w:rsidTr="002240ED">
        <w:trPr>
          <w:cantSplit/>
          <w:trHeight w:val="9"/>
        </w:trPr>
        <w:tc>
          <w:tcPr>
            <w:tcW w:w="447" w:type="dxa"/>
            <w:vMerge/>
            <w:tcBorders>
              <w:top w:val="single" w:sz="8" w:space="0" w:color="auto"/>
              <w:left w:val="single" w:sz="8" w:space="0" w:color="auto"/>
              <w:bottom w:val="single" w:sz="4" w:space="0" w:color="auto"/>
              <w:right w:val="nil"/>
            </w:tcBorders>
            <w:vAlign w:val="center"/>
            <w:hideMark/>
          </w:tcPr>
          <w:p w:rsidR="002240ED" w:rsidRPr="000D72D3" w:rsidRDefault="002240ED" w:rsidP="002240ED">
            <w:pPr>
              <w:spacing w:line="240" w:lineRule="exact"/>
              <w:rPr>
                <w:rFonts w:ascii="Garamond" w:eastAsia="Times New Roman" w:hAnsi="Garamond" w:cs="Calibri"/>
                <w:sz w:val="20"/>
                <w:szCs w:val="20"/>
                <w:lang w:val="en-US" w:bidi="hi-IN"/>
              </w:rPr>
            </w:pPr>
          </w:p>
        </w:tc>
        <w:tc>
          <w:tcPr>
            <w:tcW w:w="3160" w:type="dxa"/>
            <w:vMerge/>
            <w:tcBorders>
              <w:top w:val="single" w:sz="8" w:space="0" w:color="auto"/>
              <w:left w:val="single" w:sz="4" w:space="0" w:color="auto"/>
              <w:bottom w:val="single" w:sz="4" w:space="0" w:color="auto"/>
              <w:right w:val="single" w:sz="4" w:space="0" w:color="auto"/>
            </w:tcBorders>
            <w:vAlign w:val="center"/>
            <w:hideMark/>
          </w:tcPr>
          <w:p w:rsidR="002240ED" w:rsidRPr="000D72D3" w:rsidRDefault="002240ED" w:rsidP="002240ED">
            <w:pPr>
              <w:spacing w:line="240" w:lineRule="exact"/>
              <w:rPr>
                <w:rFonts w:ascii="Garamond" w:eastAsia="Times New Roman" w:hAnsi="Garamond" w:cs="Calibri"/>
                <w:b/>
                <w:bCs/>
                <w:sz w:val="20"/>
                <w:szCs w:val="20"/>
                <w:lang w:val="en-US" w:bidi="hi-IN"/>
              </w:rPr>
            </w:pPr>
          </w:p>
        </w:tc>
        <w:tc>
          <w:tcPr>
            <w:tcW w:w="874" w:type="dxa"/>
            <w:tcBorders>
              <w:top w:val="nil"/>
              <w:left w:val="nil"/>
              <w:bottom w:val="single" w:sz="4" w:space="0" w:color="auto"/>
              <w:right w:val="nil"/>
            </w:tcBorders>
            <w:shd w:val="clear" w:color="000000" w:fill="9BC2E6"/>
            <w:noWrap/>
            <w:vAlign w:val="bottom"/>
            <w:hideMark/>
          </w:tcPr>
          <w:p w:rsidR="002240ED" w:rsidRPr="000D72D3" w:rsidRDefault="002240ED" w:rsidP="002240ED">
            <w:pPr>
              <w:spacing w:line="240" w:lineRule="exact"/>
              <w:jc w:val="right"/>
              <w:rPr>
                <w:rFonts w:ascii="Garamond" w:eastAsia="Times New Roman" w:hAnsi="Garamond" w:cs="Calibri"/>
                <w:b/>
                <w:bCs/>
                <w:sz w:val="20"/>
                <w:szCs w:val="20"/>
                <w:lang w:val="en-US" w:bidi="hi-IN"/>
              </w:rPr>
            </w:pPr>
            <w:r w:rsidRPr="000D72D3">
              <w:rPr>
                <w:rFonts w:ascii="Garamond" w:eastAsia="Times New Roman" w:hAnsi="Garamond" w:cs="Calibri"/>
                <w:b/>
                <w:bCs/>
                <w:sz w:val="20"/>
                <w:szCs w:val="20"/>
                <w:lang w:val="en-US" w:bidi="hi-IN"/>
              </w:rPr>
              <w:t>Equity</w:t>
            </w:r>
          </w:p>
        </w:tc>
        <w:tc>
          <w:tcPr>
            <w:tcW w:w="874" w:type="dxa"/>
            <w:tcBorders>
              <w:top w:val="nil"/>
              <w:left w:val="single" w:sz="4" w:space="0" w:color="auto"/>
              <w:bottom w:val="single" w:sz="4" w:space="0" w:color="auto"/>
              <w:right w:val="single" w:sz="4" w:space="0" w:color="auto"/>
            </w:tcBorders>
            <w:shd w:val="clear" w:color="000000" w:fill="9BC2E6"/>
            <w:noWrap/>
            <w:vAlign w:val="bottom"/>
            <w:hideMark/>
          </w:tcPr>
          <w:p w:rsidR="002240ED" w:rsidRPr="000D72D3" w:rsidRDefault="002240ED" w:rsidP="002240ED">
            <w:pPr>
              <w:spacing w:line="240" w:lineRule="exact"/>
              <w:jc w:val="right"/>
              <w:rPr>
                <w:rFonts w:ascii="Garamond" w:eastAsia="Times New Roman" w:hAnsi="Garamond" w:cs="Calibri"/>
                <w:b/>
                <w:bCs/>
                <w:sz w:val="20"/>
                <w:szCs w:val="20"/>
                <w:lang w:val="en-US" w:bidi="hi-IN"/>
              </w:rPr>
            </w:pPr>
            <w:r w:rsidRPr="000D72D3">
              <w:rPr>
                <w:rFonts w:ascii="Garamond" w:eastAsia="Times New Roman" w:hAnsi="Garamond" w:cs="Calibri"/>
                <w:b/>
                <w:bCs/>
                <w:sz w:val="20"/>
                <w:szCs w:val="20"/>
                <w:lang w:val="en-US" w:bidi="hi-IN"/>
              </w:rPr>
              <w:t>Bond</w:t>
            </w:r>
          </w:p>
        </w:tc>
        <w:tc>
          <w:tcPr>
            <w:tcW w:w="876" w:type="dxa"/>
            <w:tcBorders>
              <w:top w:val="nil"/>
              <w:left w:val="nil"/>
              <w:bottom w:val="single" w:sz="4" w:space="0" w:color="auto"/>
              <w:right w:val="nil"/>
            </w:tcBorders>
            <w:shd w:val="clear" w:color="000000" w:fill="9BC2E6"/>
            <w:noWrap/>
            <w:vAlign w:val="bottom"/>
            <w:hideMark/>
          </w:tcPr>
          <w:p w:rsidR="002240ED" w:rsidRPr="000D72D3" w:rsidRDefault="002240ED" w:rsidP="002240ED">
            <w:pPr>
              <w:spacing w:line="240" w:lineRule="exact"/>
              <w:jc w:val="right"/>
              <w:rPr>
                <w:rFonts w:ascii="Garamond" w:eastAsia="Times New Roman" w:hAnsi="Garamond" w:cs="Calibri"/>
                <w:b/>
                <w:bCs/>
                <w:sz w:val="20"/>
                <w:szCs w:val="20"/>
                <w:lang w:val="en-US" w:bidi="hi-IN"/>
              </w:rPr>
            </w:pPr>
            <w:r w:rsidRPr="000D72D3">
              <w:rPr>
                <w:rFonts w:ascii="Garamond" w:eastAsia="Times New Roman" w:hAnsi="Garamond" w:cs="Calibri"/>
                <w:b/>
                <w:bCs/>
                <w:sz w:val="20"/>
                <w:szCs w:val="20"/>
                <w:lang w:val="en-US" w:bidi="hi-IN"/>
              </w:rPr>
              <w:t>Total</w:t>
            </w:r>
          </w:p>
        </w:tc>
        <w:tc>
          <w:tcPr>
            <w:tcW w:w="874" w:type="dxa"/>
            <w:tcBorders>
              <w:top w:val="nil"/>
              <w:left w:val="single" w:sz="4" w:space="0" w:color="auto"/>
              <w:bottom w:val="single" w:sz="4" w:space="0" w:color="auto"/>
              <w:right w:val="single" w:sz="4" w:space="0" w:color="auto"/>
            </w:tcBorders>
            <w:shd w:val="clear" w:color="000000" w:fill="9BC2E6"/>
            <w:noWrap/>
            <w:vAlign w:val="bottom"/>
            <w:hideMark/>
          </w:tcPr>
          <w:p w:rsidR="002240ED" w:rsidRPr="000D72D3" w:rsidRDefault="002240ED" w:rsidP="002240ED">
            <w:pPr>
              <w:spacing w:line="240" w:lineRule="exact"/>
              <w:jc w:val="right"/>
              <w:rPr>
                <w:rFonts w:ascii="Garamond" w:eastAsia="Times New Roman" w:hAnsi="Garamond" w:cs="Calibri"/>
                <w:b/>
                <w:bCs/>
                <w:sz w:val="20"/>
                <w:szCs w:val="20"/>
                <w:lang w:val="en-US" w:bidi="hi-IN"/>
              </w:rPr>
            </w:pPr>
            <w:r w:rsidRPr="000D72D3">
              <w:rPr>
                <w:rFonts w:ascii="Garamond" w:eastAsia="Times New Roman" w:hAnsi="Garamond" w:cs="Calibri"/>
                <w:b/>
                <w:bCs/>
                <w:sz w:val="20"/>
                <w:szCs w:val="20"/>
                <w:lang w:val="en-US" w:bidi="hi-IN"/>
              </w:rPr>
              <w:t>Equity</w:t>
            </w:r>
          </w:p>
        </w:tc>
        <w:tc>
          <w:tcPr>
            <w:tcW w:w="874" w:type="dxa"/>
            <w:tcBorders>
              <w:top w:val="nil"/>
              <w:left w:val="nil"/>
              <w:bottom w:val="single" w:sz="4" w:space="0" w:color="auto"/>
              <w:right w:val="single" w:sz="4" w:space="0" w:color="auto"/>
            </w:tcBorders>
            <w:shd w:val="clear" w:color="000000" w:fill="9BC2E6"/>
            <w:noWrap/>
            <w:vAlign w:val="bottom"/>
            <w:hideMark/>
          </w:tcPr>
          <w:p w:rsidR="002240ED" w:rsidRPr="000D72D3" w:rsidRDefault="002240ED" w:rsidP="002240ED">
            <w:pPr>
              <w:spacing w:line="240" w:lineRule="exact"/>
              <w:jc w:val="right"/>
              <w:rPr>
                <w:rFonts w:ascii="Garamond" w:eastAsia="Times New Roman" w:hAnsi="Garamond" w:cs="Calibri"/>
                <w:b/>
                <w:bCs/>
                <w:sz w:val="20"/>
                <w:szCs w:val="20"/>
                <w:lang w:val="en-US" w:bidi="hi-IN"/>
              </w:rPr>
            </w:pPr>
            <w:r w:rsidRPr="000D72D3">
              <w:rPr>
                <w:rFonts w:ascii="Garamond" w:eastAsia="Times New Roman" w:hAnsi="Garamond" w:cs="Calibri"/>
                <w:b/>
                <w:bCs/>
                <w:sz w:val="20"/>
                <w:szCs w:val="20"/>
                <w:lang w:val="en-US" w:bidi="hi-IN"/>
              </w:rPr>
              <w:t>Bond</w:t>
            </w:r>
          </w:p>
        </w:tc>
        <w:tc>
          <w:tcPr>
            <w:tcW w:w="876" w:type="dxa"/>
            <w:tcBorders>
              <w:top w:val="nil"/>
              <w:left w:val="nil"/>
              <w:bottom w:val="single" w:sz="4" w:space="0" w:color="auto"/>
              <w:right w:val="single" w:sz="8" w:space="0" w:color="auto"/>
            </w:tcBorders>
            <w:shd w:val="clear" w:color="000000" w:fill="9BC2E6"/>
            <w:noWrap/>
            <w:vAlign w:val="bottom"/>
            <w:hideMark/>
          </w:tcPr>
          <w:p w:rsidR="002240ED" w:rsidRPr="000D72D3" w:rsidRDefault="002240ED" w:rsidP="002240ED">
            <w:pPr>
              <w:spacing w:line="240" w:lineRule="exact"/>
              <w:jc w:val="right"/>
              <w:rPr>
                <w:rFonts w:ascii="Garamond" w:eastAsia="Times New Roman" w:hAnsi="Garamond" w:cs="Calibri"/>
                <w:b/>
                <w:bCs/>
                <w:sz w:val="20"/>
                <w:szCs w:val="20"/>
                <w:lang w:val="en-US" w:bidi="hi-IN"/>
              </w:rPr>
            </w:pPr>
            <w:r w:rsidRPr="000D72D3">
              <w:rPr>
                <w:rFonts w:ascii="Garamond" w:eastAsia="Times New Roman" w:hAnsi="Garamond" w:cs="Calibri"/>
                <w:b/>
                <w:bCs/>
                <w:sz w:val="20"/>
                <w:szCs w:val="20"/>
                <w:lang w:val="en-US" w:bidi="hi-IN"/>
              </w:rPr>
              <w:t>Total</w:t>
            </w:r>
          </w:p>
        </w:tc>
      </w:tr>
      <w:tr w:rsidR="002240ED" w:rsidRPr="000D72D3" w:rsidTr="002240ED">
        <w:trPr>
          <w:cantSplit/>
          <w:trHeight w:val="9"/>
        </w:trPr>
        <w:tc>
          <w:tcPr>
            <w:tcW w:w="447" w:type="dxa"/>
            <w:vMerge w:val="restart"/>
            <w:tcBorders>
              <w:top w:val="single" w:sz="4" w:space="0" w:color="auto"/>
              <w:left w:val="single" w:sz="8" w:space="0" w:color="auto"/>
              <w:bottom w:val="single" w:sz="4" w:space="0" w:color="auto"/>
              <w:right w:val="nil"/>
            </w:tcBorders>
            <w:shd w:val="clear" w:color="000000" w:fill="BDD7EE"/>
            <w:noWrap/>
            <w:textDirection w:val="btLr"/>
            <w:vAlign w:val="center"/>
            <w:hideMark/>
          </w:tcPr>
          <w:p w:rsidR="002240ED" w:rsidRPr="000D72D3" w:rsidRDefault="002240ED" w:rsidP="002240ED">
            <w:pPr>
              <w:spacing w:line="240" w:lineRule="exact"/>
              <w:jc w:val="center"/>
              <w:rPr>
                <w:rFonts w:ascii="Garamond" w:eastAsia="Times New Roman" w:hAnsi="Garamond" w:cs="Calibri"/>
                <w:b/>
                <w:bCs/>
                <w:sz w:val="20"/>
                <w:szCs w:val="20"/>
                <w:lang w:val="en-US" w:bidi="hi-IN"/>
              </w:rPr>
            </w:pPr>
            <w:r w:rsidRPr="000D72D3">
              <w:rPr>
                <w:rFonts w:ascii="Garamond" w:eastAsia="Times New Roman" w:hAnsi="Garamond" w:cs="Calibri"/>
                <w:b/>
                <w:bCs/>
                <w:sz w:val="20"/>
                <w:szCs w:val="20"/>
                <w:lang w:val="en-US" w:bidi="hi-IN"/>
              </w:rPr>
              <w:t>Developed</w:t>
            </w:r>
          </w:p>
        </w:tc>
        <w:tc>
          <w:tcPr>
            <w:tcW w:w="3160" w:type="dxa"/>
            <w:tcBorders>
              <w:top w:val="nil"/>
              <w:left w:val="single" w:sz="4" w:space="0" w:color="auto"/>
              <w:bottom w:val="nil"/>
              <w:right w:val="single" w:sz="4" w:space="0" w:color="auto"/>
            </w:tcBorders>
            <w:shd w:val="clear" w:color="000000" w:fill="BDD7EE"/>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Nasdaq - US</w:t>
            </w:r>
          </w:p>
        </w:tc>
        <w:tc>
          <w:tcPr>
            <w:tcW w:w="874"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2,761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NA</w:t>
            </w:r>
          </w:p>
        </w:tc>
        <w:tc>
          <w:tcPr>
            <w:tcW w:w="876"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2,761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594 </w:t>
            </w:r>
          </w:p>
        </w:tc>
        <w:tc>
          <w:tcPr>
            <w:tcW w:w="874" w:type="dxa"/>
            <w:tcBorders>
              <w:top w:val="nil"/>
              <w:left w:val="nil"/>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NA</w:t>
            </w:r>
          </w:p>
        </w:tc>
        <w:tc>
          <w:tcPr>
            <w:tcW w:w="876" w:type="dxa"/>
            <w:tcBorders>
              <w:top w:val="nil"/>
              <w:left w:val="nil"/>
              <w:bottom w:val="nil"/>
              <w:right w:val="single" w:sz="8"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594 </w:t>
            </w:r>
          </w:p>
        </w:tc>
      </w:tr>
      <w:tr w:rsidR="002240ED" w:rsidRPr="000D72D3" w:rsidTr="002240ED">
        <w:trPr>
          <w:cantSplit/>
          <w:trHeight w:val="9"/>
        </w:trPr>
        <w:tc>
          <w:tcPr>
            <w:tcW w:w="447" w:type="dxa"/>
            <w:vMerge/>
            <w:tcBorders>
              <w:top w:val="nil"/>
              <w:left w:val="single" w:sz="8" w:space="0" w:color="auto"/>
              <w:bottom w:val="single" w:sz="4" w:space="0" w:color="auto"/>
              <w:right w:val="nil"/>
            </w:tcBorders>
            <w:vAlign w:val="center"/>
            <w:hideMark/>
          </w:tcPr>
          <w:p w:rsidR="002240ED" w:rsidRPr="000D72D3" w:rsidRDefault="002240ED" w:rsidP="002240ED">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Nasdaq Nordic and Baltics</w:t>
            </w:r>
          </w:p>
        </w:tc>
        <w:tc>
          <w:tcPr>
            <w:tcW w:w="874"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13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2,367 </w:t>
            </w:r>
          </w:p>
        </w:tc>
        <w:tc>
          <w:tcPr>
            <w:tcW w:w="876"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2,380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 </w:t>
            </w:r>
          </w:p>
        </w:tc>
        <w:tc>
          <w:tcPr>
            <w:tcW w:w="874" w:type="dxa"/>
            <w:tcBorders>
              <w:top w:val="nil"/>
              <w:left w:val="nil"/>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2,648 </w:t>
            </w:r>
          </w:p>
        </w:tc>
        <w:tc>
          <w:tcPr>
            <w:tcW w:w="876" w:type="dxa"/>
            <w:tcBorders>
              <w:top w:val="nil"/>
              <w:left w:val="nil"/>
              <w:bottom w:val="nil"/>
              <w:right w:val="single" w:sz="8"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2,649 </w:t>
            </w:r>
          </w:p>
        </w:tc>
      </w:tr>
      <w:tr w:rsidR="002240ED" w:rsidRPr="000D72D3" w:rsidTr="002240ED">
        <w:trPr>
          <w:cantSplit/>
          <w:trHeight w:val="9"/>
        </w:trPr>
        <w:tc>
          <w:tcPr>
            <w:tcW w:w="447" w:type="dxa"/>
            <w:vMerge/>
            <w:tcBorders>
              <w:top w:val="nil"/>
              <w:left w:val="single" w:sz="8" w:space="0" w:color="auto"/>
              <w:bottom w:val="single" w:sz="4" w:space="0" w:color="auto"/>
              <w:right w:val="nil"/>
            </w:tcBorders>
            <w:vAlign w:val="center"/>
            <w:hideMark/>
          </w:tcPr>
          <w:p w:rsidR="002240ED" w:rsidRPr="000D72D3" w:rsidRDefault="002240ED" w:rsidP="002240ED">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NYSE</w:t>
            </w:r>
          </w:p>
        </w:tc>
        <w:tc>
          <w:tcPr>
            <w:tcW w:w="874"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3,384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NA</w:t>
            </w:r>
          </w:p>
        </w:tc>
        <w:tc>
          <w:tcPr>
            <w:tcW w:w="876"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3,384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5,121 </w:t>
            </w:r>
          </w:p>
        </w:tc>
        <w:tc>
          <w:tcPr>
            <w:tcW w:w="874" w:type="dxa"/>
            <w:tcBorders>
              <w:top w:val="nil"/>
              <w:left w:val="nil"/>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NA</w:t>
            </w:r>
          </w:p>
        </w:tc>
        <w:tc>
          <w:tcPr>
            <w:tcW w:w="876" w:type="dxa"/>
            <w:tcBorders>
              <w:top w:val="nil"/>
              <w:left w:val="nil"/>
              <w:bottom w:val="nil"/>
              <w:right w:val="single" w:sz="8"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5,121 </w:t>
            </w:r>
          </w:p>
        </w:tc>
      </w:tr>
      <w:tr w:rsidR="002240ED" w:rsidRPr="000D72D3" w:rsidTr="002240ED">
        <w:trPr>
          <w:cantSplit/>
          <w:trHeight w:val="9"/>
        </w:trPr>
        <w:tc>
          <w:tcPr>
            <w:tcW w:w="447" w:type="dxa"/>
            <w:vMerge/>
            <w:tcBorders>
              <w:top w:val="nil"/>
              <w:left w:val="single" w:sz="8" w:space="0" w:color="auto"/>
              <w:bottom w:val="single" w:sz="4" w:space="0" w:color="auto"/>
              <w:right w:val="nil"/>
            </w:tcBorders>
            <w:vAlign w:val="center"/>
            <w:hideMark/>
          </w:tcPr>
          <w:p w:rsidR="002240ED" w:rsidRPr="000D72D3" w:rsidRDefault="002240ED" w:rsidP="002240ED">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LSE Group</w:t>
            </w:r>
          </w:p>
        </w:tc>
        <w:tc>
          <w:tcPr>
            <w:tcW w:w="874"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2,309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50,209 </w:t>
            </w:r>
          </w:p>
        </w:tc>
        <w:tc>
          <w:tcPr>
            <w:tcW w:w="876"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52,518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319 </w:t>
            </w:r>
          </w:p>
        </w:tc>
        <w:tc>
          <w:tcPr>
            <w:tcW w:w="874" w:type="dxa"/>
            <w:tcBorders>
              <w:top w:val="nil"/>
              <w:left w:val="nil"/>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25,281 </w:t>
            </w:r>
          </w:p>
        </w:tc>
        <w:tc>
          <w:tcPr>
            <w:tcW w:w="876" w:type="dxa"/>
            <w:tcBorders>
              <w:top w:val="nil"/>
              <w:left w:val="nil"/>
              <w:bottom w:val="nil"/>
              <w:right w:val="single" w:sz="8"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25,600 </w:t>
            </w:r>
          </w:p>
        </w:tc>
      </w:tr>
      <w:tr w:rsidR="002240ED" w:rsidRPr="000D72D3" w:rsidTr="002240ED">
        <w:trPr>
          <w:cantSplit/>
          <w:trHeight w:val="9"/>
        </w:trPr>
        <w:tc>
          <w:tcPr>
            <w:tcW w:w="447" w:type="dxa"/>
            <w:vMerge/>
            <w:tcBorders>
              <w:top w:val="nil"/>
              <w:left w:val="single" w:sz="8" w:space="0" w:color="auto"/>
              <w:bottom w:val="single" w:sz="4" w:space="0" w:color="auto"/>
              <w:right w:val="nil"/>
            </w:tcBorders>
            <w:vAlign w:val="center"/>
            <w:hideMark/>
          </w:tcPr>
          <w:p w:rsidR="002240ED" w:rsidRPr="000D72D3" w:rsidRDefault="002240ED" w:rsidP="002240ED">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Euronext</w:t>
            </w:r>
          </w:p>
        </w:tc>
        <w:tc>
          <w:tcPr>
            <w:tcW w:w="874"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3,970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NA   </w:t>
            </w:r>
          </w:p>
        </w:tc>
        <w:tc>
          <w:tcPr>
            <w:tcW w:w="876"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3,970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1,810 </w:t>
            </w:r>
          </w:p>
        </w:tc>
        <w:tc>
          <w:tcPr>
            <w:tcW w:w="874" w:type="dxa"/>
            <w:tcBorders>
              <w:top w:val="nil"/>
              <w:left w:val="nil"/>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NA   </w:t>
            </w:r>
          </w:p>
        </w:tc>
        <w:tc>
          <w:tcPr>
            <w:tcW w:w="876" w:type="dxa"/>
            <w:tcBorders>
              <w:top w:val="nil"/>
              <w:left w:val="nil"/>
              <w:bottom w:val="nil"/>
              <w:right w:val="single" w:sz="8"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1,810 </w:t>
            </w:r>
          </w:p>
        </w:tc>
      </w:tr>
      <w:tr w:rsidR="002240ED" w:rsidRPr="000D72D3" w:rsidTr="002240ED">
        <w:trPr>
          <w:cantSplit/>
          <w:trHeight w:val="9"/>
        </w:trPr>
        <w:tc>
          <w:tcPr>
            <w:tcW w:w="447" w:type="dxa"/>
            <w:vMerge/>
            <w:tcBorders>
              <w:top w:val="nil"/>
              <w:left w:val="single" w:sz="8" w:space="0" w:color="auto"/>
              <w:bottom w:val="single" w:sz="4" w:space="0" w:color="auto"/>
              <w:right w:val="nil"/>
            </w:tcBorders>
            <w:vAlign w:val="center"/>
            <w:hideMark/>
          </w:tcPr>
          <w:p w:rsidR="002240ED" w:rsidRPr="000D72D3" w:rsidRDefault="002240ED" w:rsidP="002240ED">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Deutsche Boerse AG</w:t>
            </w:r>
          </w:p>
        </w:tc>
        <w:tc>
          <w:tcPr>
            <w:tcW w:w="874"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199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29,502 </w:t>
            </w:r>
          </w:p>
        </w:tc>
        <w:tc>
          <w:tcPr>
            <w:tcW w:w="876"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29,701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NA   </w:t>
            </w:r>
          </w:p>
        </w:tc>
        <w:tc>
          <w:tcPr>
            <w:tcW w:w="874" w:type="dxa"/>
            <w:tcBorders>
              <w:top w:val="nil"/>
              <w:left w:val="nil"/>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31,974 </w:t>
            </w:r>
          </w:p>
        </w:tc>
        <w:tc>
          <w:tcPr>
            <w:tcW w:w="876" w:type="dxa"/>
            <w:tcBorders>
              <w:top w:val="nil"/>
              <w:left w:val="nil"/>
              <w:bottom w:val="nil"/>
              <w:right w:val="single" w:sz="8"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31,974 </w:t>
            </w:r>
          </w:p>
        </w:tc>
      </w:tr>
      <w:tr w:rsidR="002240ED" w:rsidRPr="000D72D3" w:rsidTr="002240ED">
        <w:trPr>
          <w:cantSplit/>
          <w:trHeight w:val="9"/>
        </w:trPr>
        <w:tc>
          <w:tcPr>
            <w:tcW w:w="447" w:type="dxa"/>
            <w:vMerge/>
            <w:tcBorders>
              <w:top w:val="nil"/>
              <w:left w:val="single" w:sz="8" w:space="0" w:color="auto"/>
              <w:bottom w:val="single" w:sz="4" w:space="0" w:color="auto"/>
              <w:right w:val="nil"/>
            </w:tcBorders>
            <w:vAlign w:val="center"/>
            <w:hideMark/>
          </w:tcPr>
          <w:p w:rsidR="002240ED" w:rsidRPr="000D72D3" w:rsidRDefault="002240ED" w:rsidP="002240ED">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BME Spanish Exchanges</w:t>
            </w:r>
          </w:p>
        </w:tc>
        <w:tc>
          <w:tcPr>
            <w:tcW w:w="874"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1,495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29,691 </w:t>
            </w:r>
          </w:p>
        </w:tc>
        <w:tc>
          <w:tcPr>
            <w:tcW w:w="876"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31,186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1,222 </w:t>
            </w:r>
          </w:p>
        </w:tc>
        <w:tc>
          <w:tcPr>
            <w:tcW w:w="874" w:type="dxa"/>
            <w:tcBorders>
              <w:top w:val="nil"/>
              <w:left w:val="nil"/>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17,598 </w:t>
            </w:r>
          </w:p>
        </w:tc>
        <w:tc>
          <w:tcPr>
            <w:tcW w:w="876" w:type="dxa"/>
            <w:tcBorders>
              <w:top w:val="nil"/>
              <w:left w:val="nil"/>
              <w:bottom w:val="nil"/>
              <w:right w:val="single" w:sz="8"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18,820 </w:t>
            </w:r>
          </w:p>
        </w:tc>
      </w:tr>
      <w:tr w:rsidR="002240ED" w:rsidRPr="000D72D3" w:rsidTr="002240ED">
        <w:trPr>
          <w:cantSplit/>
          <w:trHeight w:val="9"/>
        </w:trPr>
        <w:tc>
          <w:tcPr>
            <w:tcW w:w="447" w:type="dxa"/>
            <w:vMerge/>
            <w:tcBorders>
              <w:top w:val="nil"/>
              <w:left w:val="single" w:sz="8" w:space="0" w:color="auto"/>
              <w:bottom w:val="single" w:sz="4" w:space="0" w:color="auto"/>
              <w:right w:val="nil"/>
            </w:tcBorders>
            <w:vAlign w:val="center"/>
            <w:hideMark/>
          </w:tcPr>
          <w:p w:rsidR="002240ED" w:rsidRPr="000D72D3" w:rsidRDefault="002240ED" w:rsidP="002240ED">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Japan Exchange Group</w:t>
            </w:r>
          </w:p>
        </w:tc>
        <w:tc>
          <w:tcPr>
            <w:tcW w:w="874"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NA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NA</w:t>
            </w:r>
          </w:p>
        </w:tc>
        <w:tc>
          <w:tcPr>
            <w:tcW w:w="876"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NA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NA   </w:t>
            </w:r>
          </w:p>
        </w:tc>
        <w:tc>
          <w:tcPr>
            <w:tcW w:w="874" w:type="dxa"/>
            <w:tcBorders>
              <w:top w:val="nil"/>
              <w:left w:val="nil"/>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NA</w:t>
            </w:r>
          </w:p>
        </w:tc>
        <w:tc>
          <w:tcPr>
            <w:tcW w:w="876" w:type="dxa"/>
            <w:tcBorders>
              <w:top w:val="nil"/>
              <w:left w:val="nil"/>
              <w:bottom w:val="nil"/>
              <w:right w:val="single" w:sz="8"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NA   </w:t>
            </w:r>
          </w:p>
        </w:tc>
      </w:tr>
      <w:tr w:rsidR="002240ED" w:rsidRPr="000D72D3" w:rsidTr="002240ED">
        <w:trPr>
          <w:cantSplit/>
          <w:trHeight w:val="9"/>
        </w:trPr>
        <w:tc>
          <w:tcPr>
            <w:tcW w:w="447" w:type="dxa"/>
            <w:vMerge/>
            <w:tcBorders>
              <w:top w:val="nil"/>
              <w:left w:val="single" w:sz="8" w:space="0" w:color="auto"/>
              <w:bottom w:val="single" w:sz="4" w:space="0" w:color="auto"/>
              <w:right w:val="nil"/>
            </w:tcBorders>
            <w:vAlign w:val="center"/>
            <w:hideMark/>
          </w:tcPr>
          <w:p w:rsidR="002240ED" w:rsidRPr="000D72D3" w:rsidRDefault="002240ED" w:rsidP="002240ED">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Singapore Exchange</w:t>
            </w:r>
          </w:p>
        </w:tc>
        <w:tc>
          <w:tcPr>
            <w:tcW w:w="874"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11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44,653 </w:t>
            </w:r>
          </w:p>
        </w:tc>
        <w:tc>
          <w:tcPr>
            <w:tcW w:w="876"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44,664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4 </w:t>
            </w:r>
          </w:p>
        </w:tc>
        <w:tc>
          <w:tcPr>
            <w:tcW w:w="874" w:type="dxa"/>
            <w:tcBorders>
              <w:top w:val="nil"/>
              <w:left w:val="nil"/>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28,443 </w:t>
            </w:r>
          </w:p>
        </w:tc>
        <w:tc>
          <w:tcPr>
            <w:tcW w:w="876" w:type="dxa"/>
            <w:tcBorders>
              <w:top w:val="nil"/>
              <w:left w:val="nil"/>
              <w:bottom w:val="nil"/>
              <w:right w:val="single" w:sz="8"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28,447 </w:t>
            </w:r>
          </w:p>
        </w:tc>
      </w:tr>
      <w:tr w:rsidR="002240ED" w:rsidRPr="000D72D3" w:rsidTr="002240ED">
        <w:trPr>
          <w:cantSplit/>
          <w:trHeight w:val="9"/>
        </w:trPr>
        <w:tc>
          <w:tcPr>
            <w:tcW w:w="447" w:type="dxa"/>
            <w:vMerge/>
            <w:tcBorders>
              <w:top w:val="nil"/>
              <w:left w:val="single" w:sz="8" w:space="0" w:color="auto"/>
              <w:bottom w:val="single" w:sz="4" w:space="0" w:color="auto"/>
              <w:right w:val="nil"/>
            </w:tcBorders>
            <w:vAlign w:val="center"/>
            <w:hideMark/>
          </w:tcPr>
          <w:p w:rsidR="002240ED" w:rsidRPr="000D72D3" w:rsidRDefault="002240ED" w:rsidP="002240ED">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ASX Australian Securities Exchange</w:t>
            </w:r>
          </w:p>
        </w:tc>
        <w:tc>
          <w:tcPr>
            <w:tcW w:w="874"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3,083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48 </w:t>
            </w:r>
          </w:p>
        </w:tc>
        <w:tc>
          <w:tcPr>
            <w:tcW w:w="876" w:type="dxa"/>
            <w:tcBorders>
              <w:top w:val="nil"/>
              <w:left w:val="nil"/>
              <w:bottom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3,132 </w:t>
            </w:r>
          </w:p>
        </w:tc>
        <w:tc>
          <w:tcPr>
            <w:tcW w:w="874" w:type="dxa"/>
            <w:tcBorders>
              <w:top w:val="nil"/>
              <w:left w:val="single" w:sz="4" w:space="0" w:color="auto"/>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2,166 </w:t>
            </w:r>
          </w:p>
        </w:tc>
        <w:tc>
          <w:tcPr>
            <w:tcW w:w="874" w:type="dxa"/>
            <w:tcBorders>
              <w:top w:val="nil"/>
              <w:left w:val="nil"/>
              <w:bottom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51 </w:t>
            </w:r>
          </w:p>
        </w:tc>
        <w:tc>
          <w:tcPr>
            <w:tcW w:w="876" w:type="dxa"/>
            <w:tcBorders>
              <w:top w:val="nil"/>
              <w:left w:val="nil"/>
              <w:bottom w:val="nil"/>
              <w:right w:val="single" w:sz="8"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2,217 </w:t>
            </w:r>
          </w:p>
        </w:tc>
      </w:tr>
      <w:tr w:rsidR="002240ED" w:rsidRPr="000D72D3" w:rsidTr="002240ED">
        <w:trPr>
          <w:cantSplit/>
          <w:trHeight w:val="9"/>
        </w:trPr>
        <w:tc>
          <w:tcPr>
            <w:tcW w:w="447" w:type="dxa"/>
            <w:vMerge/>
            <w:tcBorders>
              <w:top w:val="nil"/>
              <w:left w:val="single" w:sz="8" w:space="0" w:color="auto"/>
              <w:bottom w:val="single" w:sz="4" w:space="0" w:color="auto"/>
              <w:right w:val="nil"/>
            </w:tcBorders>
            <w:vAlign w:val="center"/>
            <w:hideMark/>
          </w:tcPr>
          <w:p w:rsidR="002240ED" w:rsidRPr="000D72D3" w:rsidRDefault="002240ED" w:rsidP="002240ED">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right w:val="single" w:sz="4" w:space="0" w:color="auto"/>
            </w:tcBorders>
            <w:shd w:val="clear" w:color="000000" w:fill="BDD7EE"/>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Hong Kong Exchanges and Clearing</w:t>
            </w:r>
          </w:p>
        </w:tc>
        <w:tc>
          <w:tcPr>
            <w:tcW w:w="874" w:type="dxa"/>
            <w:tcBorders>
              <w:top w:val="nil"/>
              <w:left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2,742 </w:t>
            </w:r>
          </w:p>
        </w:tc>
        <w:tc>
          <w:tcPr>
            <w:tcW w:w="874" w:type="dxa"/>
            <w:tcBorders>
              <w:top w:val="nil"/>
              <w:left w:val="single" w:sz="4" w:space="0" w:color="auto"/>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20,342 </w:t>
            </w:r>
          </w:p>
        </w:tc>
        <w:tc>
          <w:tcPr>
            <w:tcW w:w="876" w:type="dxa"/>
            <w:tcBorders>
              <w:top w:val="nil"/>
              <w:left w:val="nil"/>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23,084 </w:t>
            </w:r>
          </w:p>
        </w:tc>
        <w:tc>
          <w:tcPr>
            <w:tcW w:w="874" w:type="dxa"/>
            <w:tcBorders>
              <w:top w:val="nil"/>
              <w:left w:val="single" w:sz="4" w:space="0" w:color="auto"/>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1,793 </w:t>
            </w:r>
          </w:p>
        </w:tc>
        <w:tc>
          <w:tcPr>
            <w:tcW w:w="874" w:type="dxa"/>
            <w:tcBorders>
              <w:top w:val="nil"/>
              <w:left w:val="nil"/>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7,094 </w:t>
            </w:r>
          </w:p>
        </w:tc>
        <w:tc>
          <w:tcPr>
            <w:tcW w:w="876" w:type="dxa"/>
            <w:tcBorders>
              <w:top w:val="nil"/>
              <w:left w:val="nil"/>
              <w:right w:val="single" w:sz="8"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8,887 </w:t>
            </w:r>
          </w:p>
        </w:tc>
      </w:tr>
      <w:tr w:rsidR="002240ED" w:rsidRPr="000D72D3" w:rsidTr="002240ED">
        <w:trPr>
          <w:cantSplit/>
          <w:trHeight w:val="9"/>
        </w:trPr>
        <w:tc>
          <w:tcPr>
            <w:tcW w:w="447" w:type="dxa"/>
            <w:vMerge/>
            <w:tcBorders>
              <w:top w:val="nil"/>
              <w:left w:val="single" w:sz="8" w:space="0" w:color="auto"/>
              <w:bottom w:val="single" w:sz="4" w:space="0" w:color="auto"/>
              <w:right w:val="nil"/>
            </w:tcBorders>
            <w:vAlign w:val="center"/>
            <w:hideMark/>
          </w:tcPr>
          <w:p w:rsidR="002240ED" w:rsidRPr="000D72D3" w:rsidRDefault="002240ED" w:rsidP="002240ED">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single" w:sz="4" w:space="0" w:color="auto"/>
              <w:right w:val="single" w:sz="4" w:space="0" w:color="auto"/>
            </w:tcBorders>
            <w:shd w:val="clear" w:color="000000" w:fill="BDD7EE"/>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Korea Exchange</w:t>
            </w:r>
          </w:p>
        </w:tc>
        <w:tc>
          <w:tcPr>
            <w:tcW w:w="874" w:type="dxa"/>
            <w:tcBorders>
              <w:top w:val="nil"/>
              <w:left w:val="nil"/>
              <w:bottom w:val="single" w:sz="4" w:space="0" w:color="auto"/>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350 </w:t>
            </w:r>
          </w:p>
        </w:tc>
        <w:tc>
          <w:tcPr>
            <w:tcW w:w="874" w:type="dxa"/>
            <w:tcBorders>
              <w:top w:val="nil"/>
              <w:left w:val="single" w:sz="4" w:space="0" w:color="auto"/>
              <w:bottom w:val="single" w:sz="4" w:space="0" w:color="auto"/>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45,373 </w:t>
            </w:r>
          </w:p>
        </w:tc>
        <w:tc>
          <w:tcPr>
            <w:tcW w:w="876" w:type="dxa"/>
            <w:tcBorders>
              <w:top w:val="nil"/>
              <w:left w:val="nil"/>
              <w:bottom w:val="single" w:sz="4" w:space="0" w:color="auto"/>
              <w:right w:val="nil"/>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45,723 </w:t>
            </w:r>
          </w:p>
        </w:tc>
        <w:tc>
          <w:tcPr>
            <w:tcW w:w="874" w:type="dxa"/>
            <w:tcBorders>
              <w:top w:val="nil"/>
              <w:left w:val="single" w:sz="4" w:space="0" w:color="auto"/>
              <w:bottom w:val="single" w:sz="4" w:space="0" w:color="auto"/>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219 </w:t>
            </w:r>
          </w:p>
        </w:tc>
        <w:tc>
          <w:tcPr>
            <w:tcW w:w="874" w:type="dxa"/>
            <w:tcBorders>
              <w:top w:val="nil"/>
              <w:left w:val="nil"/>
              <w:bottom w:val="single" w:sz="4" w:space="0" w:color="auto"/>
              <w:right w:val="single" w:sz="4"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42,649 </w:t>
            </w:r>
          </w:p>
        </w:tc>
        <w:tc>
          <w:tcPr>
            <w:tcW w:w="876" w:type="dxa"/>
            <w:tcBorders>
              <w:top w:val="nil"/>
              <w:left w:val="nil"/>
              <w:bottom w:val="single" w:sz="4" w:space="0" w:color="auto"/>
              <w:right w:val="single" w:sz="8" w:space="0" w:color="auto"/>
            </w:tcBorders>
            <w:shd w:val="clear" w:color="auto" w:fill="auto"/>
            <w:noWrap/>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42,868 </w:t>
            </w:r>
          </w:p>
        </w:tc>
      </w:tr>
      <w:tr w:rsidR="002240ED" w:rsidRPr="000D72D3" w:rsidTr="002240ED">
        <w:trPr>
          <w:cantSplit/>
          <w:trHeight w:val="9"/>
        </w:trPr>
        <w:tc>
          <w:tcPr>
            <w:tcW w:w="447" w:type="dxa"/>
            <w:vMerge w:val="restart"/>
            <w:tcBorders>
              <w:top w:val="single" w:sz="4" w:space="0" w:color="auto"/>
              <w:left w:val="single" w:sz="8" w:space="0" w:color="auto"/>
              <w:bottom w:val="single" w:sz="8" w:space="0" w:color="000000"/>
              <w:right w:val="nil"/>
            </w:tcBorders>
            <w:shd w:val="clear" w:color="000000" w:fill="BDD7EE"/>
            <w:noWrap/>
            <w:textDirection w:val="btLr"/>
            <w:vAlign w:val="center"/>
            <w:hideMark/>
          </w:tcPr>
          <w:p w:rsidR="002240ED" w:rsidRPr="000D72D3" w:rsidRDefault="002240ED" w:rsidP="002240ED">
            <w:pPr>
              <w:spacing w:line="240" w:lineRule="exact"/>
              <w:jc w:val="center"/>
              <w:rPr>
                <w:rFonts w:ascii="Garamond" w:eastAsia="Times New Roman" w:hAnsi="Garamond" w:cs="Calibri"/>
                <w:b/>
                <w:bCs/>
                <w:sz w:val="20"/>
                <w:szCs w:val="20"/>
                <w:lang w:val="en-US" w:bidi="hi-IN"/>
              </w:rPr>
            </w:pPr>
            <w:r w:rsidRPr="000D72D3">
              <w:rPr>
                <w:rFonts w:ascii="Garamond" w:eastAsia="Times New Roman" w:hAnsi="Garamond" w:cs="Calibri"/>
                <w:b/>
                <w:bCs/>
                <w:sz w:val="20"/>
                <w:szCs w:val="20"/>
                <w:lang w:val="en-US" w:bidi="hi-IN"/>
              </w:rPr>
              <w:t>BRICS</w:t>
            </w:r>
          </w:p>
        </w:tc>
        <w:tc>
          <w:tcPr>
            <w:tcW w:w="3160" w:type="dxa"/>
            <w:tcBorders>
              <w:top w:val="single" w:sz="4" w:space="0" w:color="auto"/>
              <w:left w:val="single" w:sz="4" w:space="0" w:color="auto"/>
              <w:bottom w:val="nil"/>
              <w:right w:val="single" w:sz="4" w:space="0" w:color="auto"/>
            </w:tcBorders>
            <w:shd w:val="clear" w:color="000000" w:fill="BDD7EE"/>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B3 - BrasilBolsaBalcão</w:t>
            </w:r>
          </w:p>
        </w:tc>
        <w:tc>
          <w:tcPr>
            <w:tcW w:w="874" w:type="dxa"/>
            <w:tcBorders>
              <w:top w:val="single" w:sz="4" w:space="0" w:color="auto"/>
              <w:left w:val="nil"/>
              <w:bottom w:val="nil"/>
              <w:right w:val="nil"/>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511 </w:t>
            </w:r>
          </w:p>
        </w:tc>
        <w:tc>
          <w:tcPr>
            <w:tcW w:w="874" w:type="dxa"/>
            <w:tcBorders>
              <w:top w:val="single" w:sz="4" w:space="0" w:color="auto"/>
              <w:left w:val="single" w:sz="4" w:space="0" w:color="auto"/>
              <w:bottom w:val="nil"/>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NA</w:t>
            </w:r>
          </w:p>
        </w:tc>
        <w:tc>
          <w:tcPr>
            <w:tcW w:w="876" w:type="dxa"/>
            <w:tcBorders>
              <w:top w:val="single" w:sz="4" w:space="0" w:color="auto"/>
              <w:left w:val="nil"/>
              <w:bottom w:val="nil"/>
              <w:right w:val="nil"/>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511 </w:t>
            </w:r>
          </w:p>
        </w:tc>
        <w:tc>
          <w:tcPr>
            <w:tcW w:w="874" w:type="dxa"/>
            <w:tcBorders>
              <w:top w:val="single" w:sz="4" w:space="0" w:color="auto"/>
              <w:left w:val="single" w:sz="4" w:space="0" w:color="auto"/>
              <w:bottom w:val="nil"/>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NA   </w:t>
            </w:r>
          </w:p>
        </w:tc>
        <w:tc>
          <w:tcPr>
            <w:tcW w:w="874" w:type="dxa"/>
            <w:tcBorders>
              <w:top w:val="single" w:sz="4" w:space="0" w:color="auto"/>
              <w:left w:val="nil"/>
              <w:bottom w:val="nil"/>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NA</w:t>
            </w:r>
          </w:p>
        </w:tc>
        <w:tc>
          <w:tcPr>
            <w:tcW w:w="876" w:type="dxa"/>
            <w:tcBorders>
              <w:top w:val="single" w:sz="4" w:space="0" w:color="auto"/>
              <w:left w:val="nil"/>
              <w:bottom w:val="nil"/>
              <w:right w:val="single" w:sz="8"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NA   </w:t>
            </w:r>
          </w:p>
        </w:tc>
      </w:tr>
      <w:tr w:rsidR="002240ED" w:rsidRPr="000D72D3" w:rsidTr="002240ED">
        <w:trPr>
          <w:cantSplit/>
          <w:trHeight w:val="9"/>
        </w:trPr>
        <w:tc>
          <w:tcPr>
            <w:tcW w:w="447" w:type="dxa"/>
            <w:vMerge/>
            <w:tcBorders>
              <w:top w:val="nil"/>
              <w:left w:val="single" w:sz="8" w:space="0" w:color="auto"/>
              <w:bottom w:val="single" w:sz="8" w:space="0" w:color="000000"/>
              <w:right w:val="nil"/>
            </w:tcBorders>
            <w:vAlign w:val="center"/>
            <w:hideMark/>
          </w:tcPr>
          <w:p w:rsidR="002240ED" w:rsidRPr="000D72D3" w:rsidRDefault="002240ED" w:rsidP="002240ED">
            <w:pPr>
              <w:spacing w:line="240" w:lineRule="exact"/>
              <w:rPr>
                <w:rFonts w:ascii="Garamond" w:eastAsia="Times New Roman" w:hAnsi="Garamond" w:cs="Calibri"/>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Moscow Exchange</w:t>
            </w:r>
          </w:p>
        </w:tc>
        <w:tc>
          <w:tcPr>
            <w:tcW w:w="874" w:type="dxa"/>
            <w:tcBorders>
              <w:top w:val="nil"/>
              <w:left w:val="nil"/>
              <w:bottom w:val="nil"/>
              <w:right w:val="nil"/>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2,187 </w:t>
            </w:r>
          </w:p>
        </w:tc>
        <w:tc>
          <w:tcPr>
            <w:tcW w:w="874" w:type="dxa"/>
            <w:tcBorders>
              <w:top w:val="nil"/>
              <w:left w:val="single" w:sz="4" w:space="0" w:color="auto"/>
              <w:bottom w:val="nil"/>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30,478 </w:t>
            </w:r>
          </w:p>
        </w:tc>
        <w:tc>
          <w:tcPr>
            <w:tcW w:w="876" w:type="dxa"/>
            <w:tcBorders>
              <w:top w:val="nil"/>
              <w:left w:val="nil"/>
              <w:bottom w:val="nil"/>
              <w:right w:val="nil"/>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32,664 </w:t>
            </w:r>
          </w:p>
        </w:tc>
        <w:tc>
          <w:tcPr>
            <w:tcW w:w="874" w:type="dxa"/>
            <w:tcBorders>
              <w:top w:val="nil"/>
              <w:left w:val="single" w:sz="4" w:space="0" w:color="auto"/>
              <w:bottom w:val="nil"/>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NA   </w:t>
            </w:r>
          </w:p>
        </w:tc>
        <w:tc>
          <w:tcPr>
            <w:tcW w:w="874" w:type="dxa"/>
            <w:tcBorders>
              <w:top w:val="nil"/>
              <w:left w:val="nil"/>
              <w:bottom w:val="nil"/>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14,462 </w:t>
            </w:r>
          </w:p>
        </w:tc>
        <w:tc>
          <w:tcPr>
            <w:tcW w:w="876" w:type="dxa"/>
            <w:tcBorders>
              <w:top w:val="nil"/>
              <w:left w:val="nil"/>
              <w:bottom w:val="nil"/>
              <w:right w:val="single" w:sz="8"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14,462 </w:t>
            </w:r>
          </w:p>
        </w:tc>
      </w:tr>
      <w:tr w:rsidR="002240ED" w:rsidRPr="000D72D3" w:rsidTr="002240ED">
        <w:trPr>
          <w:cantSplit/>
          <w:trHeight w:val="9"/>
        </w:trPr>
        <w:tc>
          <w:tcPr>
            <w:tcW w:w="447" w:type="dxa"/>
            <w:vMerge/>
            <w:tcBorders>
              <w:top w:val="nil"/>
              <w:left w:val="single" w:sz="8" w:space="0" w:color="auto"/>
              <w:bottom w:val="single" w:sz="8" w:space="0" w:color="000000"/>
              <w:right w:val="nil"/>
            </w:tcBorders>
            <w:vAlign w:val="center"/>
            <w:hideMark/>
          </w:tcPr>
          <w:p w:rsidR="002240ED" w:rsidRPr="000D72D3" w:rsidRDefault="002240ED" w:rsidP="002240ED">
            <w:pPr>
              <w:spacing w:line="240" w:lineRule="exact"/>
              <w:rPr>
                <w:rFonts w:ascii="Garamond" w:eastAsia="Times New Roman" w:hAnsi="Garamond" w:cs="Calibri"/>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BSE India Limited</w:t>
            </w:r>
          </w:p>
        </w:tc>
        <w:tc>
          <w:tcPr>
            <w:tcW w:w="874" w:type="dxa"/>
            <w:tcBorders>
              <w:top w:val="nil"/>
              <w:left w:val="nil"/>
              <w:bottom w:val="nil"/>
              <w:right w:val="nil"/>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NA</w:t>
            </w:r>
          </w:p>
        </w:tc>
        <w:tc>
          <w:tcPr>
            <w:tcW w:w="874" w:type="dxa"/>
            <w:tcBorders>
              <w:top w:val="nil"/>
              <w:left w:val="single" w:sz="4" w:space="0" w:color="auto"/>
              <w:bottom w:val="nil"/>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NA</w:t>
            </w:r>
          </w:p>
        </w:tc>
        <w:tc>
          <w:tcPr>
            <w:tcW w:w="876" w:type="dxa"/>
            <w:tcBorders>
              <w:top w:val="nil"/>
              <w:left w:val="nil"/>
              <w:bottom w:val="nil"/>
              <w:right w:val="nil"/>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NA</w:t>
            </w:r>
          </w:p>
        </w:tc>
        <w:tc>
          <w:tcPr>
            <w:tcW w:w="874" w:type="dxa"/>
            <w:tcBorders>
              <w:top w:val="nil"/>
              <w:left w:val="single" w:sz="4" w:space="0" w:color="auto"/>
              <w:bottom w:val="nil"/>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NA</w:t>
            </w:r>
          </w:p>
        </w:tc>
        <w:tc>
          <w:tcPr>
            <w:tcW w:w="874" w:type="dxa"/>
            <w:tcBorders>
              <w:top w:val="nil"/>
              <w:left w:val="nil"/>
              <w:bottom w:val="nil"/>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NA</w:t>
            </w:r>
          </w:p>
        </w:tc>
        <w:tc>
          <w:tcPr>
            <w:tcW w:w="876" w:type="dxa"/>
            <w:tcBorders>
              <w:top w:val="nil"/>
              <w:left w:val="nil"/>
              <w:bottom w:val="nil"/>
              <w:right w:val="single" w:sz="8"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NA</w:t>
            </w:r>
          </w:p>
        </w:tc>
      </w:tr>
      <w:tr w:rsidR="002240ED" w:rsidRPr="000D72D3" w:rsidTr="002240ED">
        <w:trPr>
          <w:cantSplit/>
          <w:trHeight w:val="9"/>
        </w:trPr>
        <w:tc>
          <w:tcPr>
            <w:tcW w:w="447" w:type="dxa"/>
            <w:vMerge/>
            <w:tcBorders>
              <w:top w:val="nil"/>
              <w:left w:val="single" w:sz="8" w:space="0" w:color="auto"/>
              <w:bottom w:val="single" w:sz="8" w:space="0" w:color="000000"/>
              <w:right w:val="nil"/>
            </w:tcBorders>
            <w:vAlign w:val="center"/>
            <w:hideMark/>
          </w:tcPr>
          <w:p w:rsidR="002240ED" w:rsidRPr="000D72D3" w:rsidRDefault="002240ED" w:rsidP="002240ED">
            <w:pPr>
              <w:spacing w:line="240" w:lineRule="exact"/>
              <w:rPr>
                <w:rFonts w:ascii="Garamond" w:eastAsia="Times New Roman" w:hAnsi="Garamond" w:cs="Calibri"/>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National Stock Exchange of India Limited</w:t>
            </w:r>
          </w:p>
        </w:tc>
        <w:tc>
          <w:tcPr>
            <w:tcW w:w="874" w:type="dxa"/>
            <w:tcBorders>
              <w:top w:val="nil"/>
              <w:left w:val="nil"/>
              <w:bottom w:val="nil"/>
              <w:right w:val="nil"/>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1,305 </w:t>
            </w:r>
          </w:p>
        </w:tc>
        <w:tc>
          <w:tcPr>
            <w:tcW w:w="874" w:type="dxa"/>
            <w:tcBorders>
              <w:top w:val="nil"/>
              <w:left w:val="single" w:sz="4" w:space="0" w:color="auto"/>
              <w:bottom w:val="nil"/>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40,592 </w:t>
            </w:r>
          </w:p>
        </w:tc>
        <w:tc>
          <w:tcPr>
            <w:tcW w:w="876" w:type="dxa"/>
            <w:tcBorders>
              <w:top w:val="nil"/>
              <w:left w:val="nil"/>
              <w:bottom w:val="nil"/>
              <w:right w:val="nil"/>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41,897 </w:t>
            </w:r>
          </w:p>
        </w:tc>
        <w:tc>
          <w:tcPr>
            <w:tcW w:w="874" w:type="dxa"/>
            <w:tcBorders>
              <w:top w:val="nil"/>
              <w:left w:val="single" w:sz="4" w:space="0" w:color="auto"/>
              <w:bottom w:val="nil"/>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1,029 </w:t>
            </w:r>
          </w:p>
        </w:tc>
        <w:tc>
          <w:tcPr>
            <w:tcW w:w="874" w:type="dxa"/>
            <w:tcBorders>
              <w:top w:val="nil"/>
              <w:left w:val="nil"/>
              <w:bottom w:val="nil"/>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37,718 </w:t>
            </w:r>
          </w:p>
        </w:tc>
        <w:tc>
          <w:tcPr>
            <w:tcW w:w="876" w:type="dxa"/>
            <w:tcBorders>
              <w:top w:val="nil"/>
              <w:left w:val="nil"/>
              <w:bottom w:val="nil"/>
              <w:right w:val="single" w:sz="8"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38,747 </w:t>
            </w:r>
          </w:p>
        </w:tc>
      </w:tr>
      <w:tr w:rsidR="002240ED" w:rsidRPr="000D72D3" w:rsidTr="002240ED">
        <w:trPr>
          <w:cantSplit/>
          <w:trHeight w:val="9"/>
        </w:trPr>
        <w:tc>
          <w:tcPr>
            <w:tcW w:w="447" w:type="dxa"/>
            <w:vMerge/>
            <w:tcBorders>
              <w:top w:val="nil"/>
              <w:left w:val="single" w:sz="8" w:space="0" w:color="auto"/>
              <w:bottom w:val="single" w:sz="8" w:space="0" w:color="000000"/>
              <w:right w:val="nil"/>
            </w:tcBorders>
            <w:vAlign w:val="center"/>
            <w:hideMark/>
          </w:tcPr>
          <w:p w:rsidR="002240ED" w:rsidRPr="000D72D3" w:rsidRDefault="002240ED" w:rsidP="002240ED">
            <w:pPr>
              <w:spacing w:line="240" w:lineRule="exact"/>
              <w:rPr>
                <w:rFonts w:ascii="Garamond" w:eastAsia="Times New Roman" w:hAnsi="Garamond" w:cs="Calibri"/>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Shanghai Stock Exchange</w:t>
            </w:r>
          </w:p>
        </w:tc>
        <w:tc>
          <w:tcPr>
            <w:tcW w:w="874" w:type="dxa"/>
            <w:tcBorders>
              <w:top w:val="nil"/>
              <w:left w:val="nil"/>
              <w:bottom w:val="nil"/>
              <w:right w:val="nil"/>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10,274 </w:t>
            </w:r>
          </w:p>
        </w:tc>
        <w:tc>
          <w:tcPr>
            <w:tcW w:w="874" w:type="dxa"/>
            <w:tcBorders>
              <w:top w:val="nil"/>
              <w:left w:val="single" w:sz="4" w:space="0" w:color="auto"/>
              <w:bottom w:val="nil"/>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NA</w:t>
            </w:r>
          </w:p>
        </w:tc>
        <w:tc>
          <w:tcPr>
            <w:tcW w:w="876" w:type="dxa"/>
            <w:tcBorders>
              <w:top w:val="nil"/>
              <w:left w:val="nil"/>
              <w:bottom w:val="nil"/>
              <w:right w:val="nil"/>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10,274 </w:t>
            </w:r>
          </w:p>
        </w:tc>
        <w:tc>
          <w:tcPr>
            <w:tcW w:w="874" w:type="dxa"/>
            <w:tcBorders>
              <w:top w:val="nil"/>
              <w:left w:val="single" w:sz="4" w:space="0" w:color="auto"/>
              <w:bottom w:val="nil"/>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1,965 </w:t>
            </w:r>
          </w:p>
        </w:tc>
        <w:tc>
          <w:tcPr>
            <w:tcW w:w="874" w:type="dxa"/>
            <w:tcBorders>
              <w:top w:val="nil"/>
              <w:left w:val="nil"/>
              <w:bottom w:val="nil"/>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NA</w:t>
            </w:r>
          </w:p>
        </w:tc>
        <w:tc>
          <w:tcPr>
            <w:tcW w:w="876" w:type="dxa"/>
            <w:tcBorders>
              <w:top w:val="nil"/>
              <w:left w:val="nil"/>
              <w:bottom w:val="nil"/>
              <w:right w:val="single" w:sz="8"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1,965 </w:t>
            </w:r>
          </w:p>
        </w:tc>
      </w:tr>
      <w:tr w:rsidR="002240ED" w:rsidRPr="000D72D3" w:rsidTr="002240ED">
        <w:trPr>
          <w:cantSplit/>
          <w:trHeight w:val="9"/>
        </w:trPr>
        <w:tc>
          <w:tcPr>
            <w:tcW w:w="447" w:type="dxa"/>
            <w:vMerge/>
            <w:tcBorders>
              <w:top w:val="nil"/>
              <w:left w:val="single" w:sz="8" w:space="0" w:color="auto"/>
              <w:bottom w:val="single" w:sz="8" w:space="0" w:color="000000"/>
              <w:right w:val="nil"/>
            </w:tcBorders>
            <w:vAlign w:val="center"/>
            <w:hideMark/>
          </w:tcPr>
          <w:p w:rsidR="002240ED" w:rsidRPr="000D72D3" w:rsidRDefault="002240ED" w:rsidP="002240ED">
            <w:pPr>
              <w:spacing w:line="240" w:lineRule="exact"/>
              <w:rPr>
                <w:rFonts w:ascii="Garamond" w:eastAsia="Times New Roman" w:hAnsi="Garamond" w:cs="Calibri"/>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Shenzhen Stock Exchange</w:t>
            </w:r>
          </w:p>
        </w:tc>
        <w:tc>
          <w:tcPr>
            <w:tcW w:w="874" w:type="dxa"/>
            <w:tcBorders>
              <w:top w:val="nil"/>
              <w:left w:val="nil"/>
              <w:bottom w:val="nil"/>
              <w:right w:val="nil"/>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13,776 </w:t>
            </w:r>
          </w:p>
        </w:tc>
        <w:tc>
          <w:tcPr>
            <w:tcW w:w="874" w:type="dxa"/>
            <w:tcBorders>
              <w:top w:val="nil"/>
              <w:left w:val="single" w:sz="4" w:space="0" w:color="auto"/>
              <w:bottom w:val="nil"/>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3,273 </w:t>
            </w:r>
          </w:p>
        </w:tc>
        <w:tc>
          <w:tcPr>
            <w:tcW w:w="876" w:type="dxa"/>
            <w:tcBorders>
              <w:top w:val="nil"/>
              <w:left w:val="nil"/>
              <w:bottom w:val="nil"/>
              <w:right w:val="nil"/>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17,050 </w:t>
            </w:r>
          </w:p>
        </w:tc>
        <w:tc>
          <w:tcPr>
            <w:tcW w:w="874" w:type="dxa"/>
            <w:tcBorders>
              <w:top w:val="nil"/>
              <w:left w:val="single" w:sz="4" w:space="0" w:color="auto"/>
              <w:bottom w:val="nil"/>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3,069 </w:t>
            </w:r>
          </w:p>
        </w:tc>
        <w:tc>
          <w:tcPr>
            <w:tcW w:w="874" w:type="dxa"/>
            <w:tcBorders>
              <w:top w:val="nil"/>
              <w:left w:val="nil"/>
              <w:bottom w:val="nil"/>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2,836 </w:t>
            </w:r>
          </w:p>
        </w:tc>
        <w:tc>
          <w:tcPr>
            <w:tcW w:w="876" w:type="dxa"/>
            <w:tcBorders>
              <w:top w:val="nil"/>
              <w:left w:val="nil"/>
              <w:bottom w:val="nil"/>
              <w:right w:val="single" w:sz="8"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5,906 </w:t>
            </w:r>
          </w:p>
        </w:tc>
      </w:tr>
      <w:tr w:rsidR="002240ED" w:rsidRPr="000D72D3" w:rsidTr="002240ED">
        <w:trPr>
          <w:cantSplit/>
          <w:trHeight w:val="9"/>
        </w:trPr>
        <w:tc>
          <w:tcPr>
            <w:tcW w:w="447" w:type="dxa"/>
            <w:vMerge/>
            <w:tcBorders>
              <w:top w:val="nil"/>
              <w:left w:val="single" w:sz="8" w:space="0" w:color="auto"/>
              <w:bottom w:val="single" w:sz="8" w:space="0" w:color="000000"/>
              <w:right w:val="nil"/>
            </w:tcBorders>
            <w:vAlign w:val="center"/>
            <w:hideMark/>
          </w:tcPr>
          <w:p w:rsidR="002240ED" w:rsidRPr="000D72D3" w:rsidRDefault="002240ED" w:rsidP="002240ED">
            <w:pPr>
              <w:spacing w:line="240" w:lineRule="exact"/>
              <w:rPr>
                <w:rFonts w:ascii="Garamond" w:eastAsia="Times New Roman" w:hAnsi="Garamond" w:cs="Calibri"/>
                <w:sz w:val="20"/>
                <w:szCs w:val="20"/>
                <w:lang w:val="en-US" w:bidi="hi-IN"/>
              </w:rPr>
            </w:pPr>
          </w:p>
        </w:tc>
        <w:tc>
          <w:tcPr>
            <w:tcW w:w="3160" w:type="dxa"/>
            <w:tcBorders>
              <w:top w:val="nil"/>
              <w:left w:val="single" w:sz="4" w:space="0" w:color="auto"/>
              <w:bottom w:val="single" w:sz="8" w:space="0" w:color="auto"/>
              <w:right w:val="single" w:sz="4" w:space="0" w:color="auto"/>
            </w:tcBorders>
            <w:shd w:val="clear" w:color="000000" w:fill="BDD7EE"/>
            <w:vAlign w:val="bottom"/>
            <w:hideMark/>
          </w:tcPr>
          <w:p w:rsidR="002240ED" w:rsidRPr="000D72D3" w:rsidRDefault="002240ED" w:rsidP="002240ED">
            <w:pPr>
              <w:spacing w:line="240" w:lineRule="exact"/>
              <w:rPr>
                <w:rFonts w:ascii="Garamond" w:eastAsia="Times New Roman" w:hAnsi="Garamond" w:cs="Calibri"/>
                <w:sz w:val="20"/>
                <w:szCs w:val="20"/>
                <w:lang w:val="en-US" w:bidi="hi-IN"/>
              </w:rPr>
            </w:pPr>
            <w:r w:rsidRPr="000D72D3">
              <w:rPr>
                <w:rFonts w:ascii="Garamond" w:eastAsia="Times New Roman" w:hAnsi="Garamond" w:cs="Calibri"/>
                <w:sz w:val="20"/>
                <w:szCs w:val="20"/>
                <w:lang w:val="en-US" w:bidi="hi-IN"/>
              </w:rPr>
              <w:t>Johannesburg Stock Exchange</w:t>
            </w:r>
          </w:p>
        </w:tc>
        <w:tc>
          <w:tcPr>
            <w:tcW w:w="874" w:type="dxa"/>
            <w:tcBorders>
              <w:top w:val="nil"/>
              <w:left w:val="nil"/>
              <w:bottom w:val="single" w:sz="8" w:space="0" w:color="auto"/>
              <w:right w:val="nil"/>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NA</w:t>
            </w:r>
          </w:p>
        </w:tc>
        <w:tc>
          <w:tcPr>
            <w:tcW w:w="874" w:type="dxa"/>
            <w:tcBorders>
              <w:top w:val="nil"/>
              <w:left w:val="single" w:sz="4" w:space="0" w:color="auto"/>
              <w:bottom w:val="single" w:sz="8" w:space="0" w:color="auto"/>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272,761 </w:t>
            </w:r>
          </w:p>
        </w:tc>
        <w:tc>
          <w:tcPr>
            <w:tcW w:w="876" w:type="dxa"/>
            <w:tcBorders>
              <w:top w:val="nil"/>
              <w:left w:val="nil"/>
              <w:bottom w:val="single" w:sz="8" w:space="0" w:color="auto"/>
              <w:right w:val="nil"/>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272,761 </w:t>
            </w:r>
          </w:p>
        </w:tc>
        <w:tc>
          <w:tcPr>
            <w:tcW w:w="874" w:type="dxa"/>
            <w:tcBorders>
              <w:top w:val="nil"/>
              <w:left w:val="single" w:sz="4" w:space="0" w:color="auto"/>
              <w:bottom w:val="single" w:sz="8" w:space="0" w:color="auto"/>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NA</w:t>
            </w:r>
          </w:p>
        </w:tc>
        <w:tc>
          <w:tcPr>
            <w:tcW w:w="874" w:type="dxa"/>
            <w:tcBorders>
              <w:top w:val="nil"/>
              <w:left w:val="nil"/>
              <w:bottom w:val="single" w:sz="8" w:space="0" w:color="auto"/>
              <w:right w:val="single" w:sz="4"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NA   </w:t>
            </w:r>
          </w:p>
        </w:tc>
        <w:tc>
          <w:tcPr>
            <w:tcW w:w="876" w:type="dxa"/>
            <w:tcBorders>
              <w:top w:val="nil"/>
              <w:left w:val="nil"/>
              <w:bottom w:val="single" w:sz="8" w:space="0" w:color="auto"/>
              <w:right w:val="single" w:sz="8" w:space="0" w:color="auto"/>
            </w:tcBorders>
            <w:shd w:val="clear" w:color="auto" w:fill="auto"/>
            <w:noWrap/>
            <w:hideMark/>
          </w:tcPr>
          <w:p w:rsidR="002240ED" w:rsidRPr="000D72D3" w:rsidRDefault="002240ED" w:rsidP="002240ED">
            <w:pPr>
              <w:jc w:val="right"/>
              <w:rPr>
                <w:rFonts w:ascii="Garamond" w:eastAsia="Times New Roman" w:hAnsi="Garamond" w:cs="Calibri"/>
                <w:sz w:val="20"/>
                <w:szCs w:val="20"/>
                <w:lang w:eastAsia="en-GB" w:bidi="hi-IN"/>
              </w:rPr>
            </w:pPr>
            <w:r w:rsidRPr="000D72D3">
              <w:rPr>
                <w:rFonts w:ascii="Garamond" w:eastAsia="Times New Roman" w:hAnsi="Garamond" w:cs="Calibri"/>
                <w:sz w:val="20"/>
                <w:szCs w:val="20"/>
                <w:lang w:eastAsia="en-GB" w:bidi="hi-IN"/>
              </w:rPr>
              <w:t xml:space="preserve"> NA   </w:t>
            </w:r>
          </w:p>
        </w:tc>
      </w:tr>
    </w:tbl>
    <w:p w:rsidR="002240ED" w:rsidRPr="000D72D3" w:rsidRDefault="002240ED" w:rsidP="002240ED">
      <w:pPr>
        <w:rPr>
          <w:rFonts w:ascii="Garamond" w:hAnsi="Garamond"/>
          <w:b/>
          <w:sz w:val="20"/>
        </w:rPr>
      </w:pPr>
    </w:p>
    <w:p w:rsidR="002240ED" w:rsidRPr="00EE0A0A" w:rsidRDefault="002240ED" w:rsidP="002240ED">
      <w:pPr>
        <w:rPr>
          <w:rFonts w:ascii="Garamond" w:hAnsi="Garamond"/>
          <w:sz w:val="20"/>
          <w:szCs w:val="20"/>
        </w:rPr>
      </w:pPr>
      <w:r w:rsidRPr="00EE0A0A">
        <w:rPr>
          <w:rFonts w:ascii="Garamond" w:hAnsi="Garamond"/>
          <w:b/>
          <w:sz w:val="20"/>
          <w:szCs w:val="20"/>
        </w:rPr>
        <w:t>Note:</w:t>
      </w:r>
      <w:r w:rsidRPr="00EE0A0A">
        <w:rPr>
          <w:rFonts w:ascii="Garamond" w:hAnsi="Garamond"/>
          <w:sz w:val="20"/>
          <w:szCs w:val="20"/>
        </w:rPr>
        <w:t xml:space="preserve"> Fund mobilisation data for equities are (i) excluding investment funds and (ii) including Alternative and SME Markets except the following exceptions:</w:t>
      </w:r>
    </w:p>
    <w:p w:rsidR="002240ED" w:rsidRPr="00EE0A0A" w:rsidRDefault="002240ED" w:rsidP="002240ED">
      <w:pPr>
        <w:pStyle w:val="CM14"/>
        <w:numPr>
          <w:ilvl w:val="0"/>
          <w:numId w:val="28"/>
        </w:numPr>
        <w:spacing w:after="0"/>
        <w:rPr>
          <w:rFonts w:ascii="Garamond" w:hAnsi="Garamond"/>
          <w:sz w:val="20"/>
          <w:szCs w:val="20"/>
          <w:lang w:val="en-GB"/>
        </w:rPr>
      </w:pPr>
      <w:r w:rsidRPr="00EE0A0A">
        <w:rPr>
          <w:rFonts w:ascii="Garamond" w:hAnsi="Garamond"/>
          <w:sz w:val="20"/>
          <w:szCs w:val="20"/>
          <w:lang w:val="en-GB"/>
        </w:rPr>
        <w:t>Australian Securities Exchange: including investment funds</w:t>
      </w:r>
    </w:p>
    <w:p w:rsidR="002240ED" w:rsidRPr="00EE0A0A" w:rsidRDefault="002240ED" w:rsidP="002240ED">
      <w:pPr>
        <w:pStyle w:val="CM14"/>
        <w:numPr>
          <w:ilvl w:val="0"/>
          <w:numId w:val="28"/>
        </w:numPr>
        <w:spacing w:after="0"/>
        <w:rPr>
          <w:rFonts w:ascii="Garamond" w:hAnsi="Garamond"/>
          <w:sz w:val="20"/>
          <w:szCs w:val="20"/>
          <w:lang w:val="en-GB"/>
        </w:rPr>
      </w:pPr>
      <w:r w:rsidRPr="00EE0A0A">
        <w:rPr>
          <w:rFonts w:ascii="Garamond" w:hAnsi="Garamond"/>
          <w:sz w:val="20"/>
          <w:szCs w:val="20"/>
          <w:lang w:val="en-GB"/>
        </w:rPr>
        <w:t xml:space="preserve">BME: Including investment companies listed (open-end investment companies). </w:t>
      </w:r>
    </w:p>
    <w:p w:rsidR="002240ED" w:rsidRPr="00EE0A0A" w:rsidRDefault="002240ED" w:rsidP="002240ED">
      <w:pPr>
        <w:pStyle w:val="CM14"/>
        <w:numPr>
          <w:ilvl w:val="0"/>
          <w:numId w:val="28"/>
        </w:numPr>
        <w:spacing w:after="0"/>
        <w:rPr>
          <w:rFonts w:ascii="Garamond" w:hAnsi="Garamond"/>
          <w:sz w:val="20"/>
          <w:szCs w:val="20"/>
          <w:lang w:val="en-GB"/>
        </w:rPr>
      </w:pPr>
      <w:r w:rsidRPr="00EE0A0A">
        <w:rPr>
          <w:rFonts w:ascii="Garamond" w:hAnsi="Garamond"/>
          <w:sz w:val="20"/>
          <w:szCs w:val="20"/>
          <w:lang w:val="en-GB"/>
        </w:rPr>
        <w:t>Bolsa de Valores de Lima: Includes 26 foreign companies with shares negotiated under a special modality</w:t>
      </w:r>
    </w:p>
    <w:p w:rsidR="002240ED" w:rsidRPr="00EE0A0A" w:rsidRDefault="002240ED" w:rsidP="002240ED">
      <w:pPr>
        <w:pStyle w:val="CM14"/>
        <w:numPr>
          <w:ilvl w:val="0"/>
          <w:numId w:val="28"/>
        </w:numPr>
        <w:spacing w:after="0"/>
        <w:rPr>
          <w:rFonts w:ascii="Garamond" w:hAnsi="Garamond"/>
          <w:sz w:val="20"/>
          <w:szCs w:val="20"/>
          <w:lang w:val="en-GB"/>
        </w:rPr>
      </w:pPr>
      <w:r w:rsidRPr="00EE0A0A">
        <w:rPr>
          <w:rFonts w:ascii="Garamond" w:hAnsi="Garamond"/>
          <w:sz w:val="20"/>
          <w:szCs w:val="20"/>
          <w:lang w:val="en-GB"/>
        </w:rPr>
        <w:t>Euronext: includes Belgium, England, France, Netherlands and Portugal</w:t>
      </w:r>
    </w:p>
    <w:p w:rsidR="002240ED" w:rsidRPr="00EE0A0A" w:rsidRDefault="002240ED" w:rsidP="002240ED">
      <w:pPr>
        <w:pStyle w:val="CM14"/>
        <w:numPr>
          <w:ilvl w:val="0"/>
          <w:numId w:val="28"/>
        </w:numPr>
        <w:spacing w:after="0"/>
        <w:rPr>
          <w:rFonts w:ascii="Garamond" w:hAnsi="Garamond"/>
          <w:sz w:val="20"/>
          <w:szCs w:val="20"/>
          <w:lang w:val="en-GB"/>
        </w:rPr>
      </w:pPr>
      <w:r w:rsidRPr="00EE0A0A">
        <w:rPr>
          <w:rFonts w:ascii="Garamond" w:hAnsi="Garamond"/>
          <w:sz w:val="20"/>
          <w:szCs w:val="20"/>
          <w:lang w:val="en-GB"/>
        </w:rPr>
        <w:t>Korea Exchange: including Kosdaq market data</w:t>
      </w:r>
    </w:p>
    <w:p w:rsidR="002240ED" w:rsidRPr="00EE0A0A" w:rsidRDefault="002240ED" w:rsidP="002240ED">
      <w:pPr>
        <w:pStyle w:val="CM14"/>
        <w:numPr>
          <w:ilvl w:val="0"/>
          <w:numId w:val="28"/>
        </w:numPr>
        <w:spacing w:after="0"/>
        <w:rPr>
          <w:rFonts w:ascii="Garamond" w:hAnsi="Garamond"/>
          <w:sz w:val="20"/>
          <w:szCs w:val="20"/>
          <w:lang w:val="en-GB"/>
        </w:rPr>
      </w:pPr>
      <w:r w:rsidRPr="00EE0A0A">
        <w:rPr>
          <w:rFonts w:ascii="Garamond" w:hAnsi="Garamond"/>
          <w:sz w:val="20"/>
          <w:szCs w:val="20"/>
          <w:lang w:val="en-GB"/>
        </w:rPr>
        <w:t>LSE Group: includes London Stock Exchange and BorsaItaliana</w:t>
      </w:r>
    </w:p>
    <w:p w:rsidR="002240ED" w:rsidRPr="00EE0A0A" w:rsidRDefault="002240ED" w:rsidP="002240ED">
      <w:pPr>
        <w:pStyle w:val="CM14"/>
        <w:numPr>
          <w:ilvl w:val="0"/>
          <w:numId w:val="28"/>
        </w:numPr>
        <w:spacing w:after="0"/>
        <w:rPr>
          <w:rFonts w:ascii="Garamond" w:hAnsi="Garamond"/>
          <w:sz w:val="20"/>
          <w:szCs w:val="20"/>
          <w:lang w:val="en-GB"/>
        </w:rPr>
      </w:pPr>
      <w:r w:rsidRPr="00EE0A0A">
        <w:rPr>
          <w:rFonts w:ascii="Garamond" w:hAnsi="Garamond"/>
          <w:sz w:val="20"/>
          <w:szCs w:val="20"/>
          <w:lang w:val="en-GB"/>
        </w:rPr>
        <w:t>Nasdaq Nordic Exchanges include Copenhagen, Helsinki, Iceland, Stockholm, Tallinn, Riga and Vilnius Stock Exchanges</w:t>
      </w:r>
    </w:p>
    <w:p w:rsidR="002240ED" w:rsidRPr="00EE0A0A" w:rsidRDefault="002240ED" w:rsidP="002240ED">
      <w:pPr>
        <w:pStyle w:val="CM14"/>
        <w:numPr>
          <w:ilvl w:val="0"/>
          <w:numId w:val="28"/>
        </w:numPr>
        <w:spacing w:after="0"/>
        <w:rPr>
          <w:rFonts w:ascii="Garamond" w:hAnsi="Garamond"/>
          <w:sz w:val="20"/>
          <w:szCs w:val="20"/>
          <w:lang w:val="en-GB"/>
        </w:rPr>
      </w:pPr>
      <w:r w:rsidRPr="00EE0A0A">
        <w:rPr>
          <w:rFonts w:ascii="Garamond" w:hAnsi="Garamond"/>
          <w:sz w:val="20"/>
          <w:szCs w:val="20"/>
          <w:lang w:val="en-GB"/>
        </w:rPr>
        <w:t>NSE India: including “Emerge” market data</w:t>
      </w:r>
    </w:p>
    <w:p w:rsidR="002240ED" w:rsidRPr="00EE0A0A" w:rsidRDefault="002240ED" w:rsidP="002240ED">
      <w:pPr>
        <w:pStyle w:val="CM14"/>
        <w:numPr>
          <w:ilvl w:val="0"/>
          <w:numId w:val="28"/>
        </w:numPr>
        <w:spacing w:after="0"/>
        <w:rPr>
          <w:rFonts w:ascii="Garamond" w:hAnsi="Garamond"/>
          <w:sz w:val="20"/>
          <w:szCs w:val="20"/>
          <w:lang w:val="en-GB"/>
        </w:rPr>
      </w:pPr>
      <w:r w:rsidRPr="00EE0A0A">
        <w:rPr>
          <w:rFonts w:ascii="Garamond" w:hAnsi="Garamond"/>
          <w:sz w:val="20"/>
          <w:szCs w:val="20"/>
          <w:lang w:val="en-GB"/>
        </w:rPr>
        <w:t>Singapore Exchange: market capitalization includes domestic listings and a substantial number of foreign listings, defined as companies whose principal place of business is outside of Singapore. Inactive secondary foreign listings are excluded.</w:t>
      </w:r>
    </w:p>
    <w:p w:rsidR="002240ED" w:rsidRPr="00EE0A0A" w:rsidRDefault="002240ED" w:rsidP="002240ED">
      <w:pPr>
        <w:rPr>
          <w:rFonts w:ascii="Garamond" w:hAnsi="Garamond"/>
          <w:sz w:val="20"/>
          <w:szCs w:val="20"/>
        </w:rPr>
      </w:pPr>
      <w:r w:rsidRPr="00EE0A0A">
        <w:rPr>
          <w:rFonts w:ascii="Garamond" w:hAnsi="Garamond"/>
          <w:sz w:val="20"/>
          <w:szCs w:val="20"/>
        </w:rPr>
        <w:t>For Funds mobilised through issuance of bonds, due to different reporting rules &amp; calculation methods, turnover figures are not entirely comparable. The sale &amp; purchase of a share are counted as one transaction</w:t>
      </w:r>
    </w:p>
    <w:p w:rsidR="002240ED" w:rsidRPr="00EE0A0A" w:rsidRDefault="002240ED" w:rsidP="002240ED">
      <w:pPr>
        <w:outlineLvl w:val="0"/>
        <w:rPr>
          <w:rFonts w:ascii="Garamond" w:hAnsi="Garamond"/>
          <w:sz w:val="20"/>
          <w:szCs w:val="20"/>
        </w:rPr>
      </w:pPr>
      <w:r w:rsidRPr="00EE0A0A">
        <w:rPr>
          <w:rFonts w:ascii="Garamond" w:hAnsi="Garamond"/>
          <w:sz w:val="20"/>
          <w:szCs w:val="20"/>
        </w:rPr>
        <w:t>NA = Not Available</w:t>
      </w:r>
    </w:p>
    <w:p w:rsidR="002240ED" w:rsidRPr="00EE0A0A" w:rsidRDefault="002240ED" w:rsidP="002240ED">
      <w:pPr>
        <w:rPr>
          <w:rFonts w:ascii="Garamond" w:hAnsi="Garamond"/>
          <w:sz w:val="20"/>
          <w:szCs w:val="20"/>
        </w:rPr>
      </w:pPr>
      <w:r w:rsidRPr="00EE0A0A">
        <w:rPr>
          <w:rFonts w:ascii="Garamond" w:hAnsi="Garamond"/>
          <w:b/>
          <w:sz w:val="20"/>
          <w:szCs w:val="20"/>
        </w:rPr>
        <w:t>Source:</w:t>
      </w:r>
      <w:r w:rsidRPr="00EE0A0A">
        <w:rPr>
          <w:rFonts w:ascii="Garamond" w:hAnsi="Garamond"/>
          <w:sz w:val="20"/>
          <w:szCs w:val="20"/>
        </w:rPr>
        <w:t xml:space="preserve"> World Federation of Exchanges</w:t>
      </w:r>
    </w:p>
    <w:p w:rsidR="002240ED" w:rsidRPr="00842D76" w:rsidRDefault="002240ED" w:rsidP="002240ED">
      <w:pPr>
        <w:rPr>
          <w:rFonts w:ascii="Garamond" w:hAnsi="Garamond"/>
          <w:b/>
          <w:color w:val="0070C0"/>
        </w:rPr>
      </w:pPr>
    </w:p>
    <w:p w:rsidR="002240ED" w:rsidRPr="005A7E00" w:rsidRDefault="002240ED" w:rsidP="002240ED">
      <w:pPr>
        <w:outlineLvl w:val="0"/>
        <w:rPr>
          <w:rFonts w:ascii="Garamond" w:hAnsi="Garamond"/>
          <w:b/>
        </w:rPr>
      </w:pPr>
      <w:r w:rsidRPr="005A7E00">
        <w:rPr>
          <w:rFonts w:ascii="Garamond" w:hAnsi="Garamond"/>
          <w:b/>
        </w:rPr>
        <w:t>Market Capitalisation of Major Exchanges:</w:t>
      </w:r>
    </w:p>
    <w:p w:rsidR="002240ED" w:rsidRPr="005A7E00" w:rsidRDefault="002240ED" w:rsidP="002240ED">
      <w:pPr>
        <w:ind w:firstLine="720"/>
        <w:jc w:val="both"/>
        <w:rPr>
          <w:rFonts w:ascii="Garamond" w:hAnsi="Garamond"/>
        </w:rPr>
      </w:pPr>
    </w:p>
    <w:p w:rsidR="002240ED" w:rsidRPr="002240ED" w:rsidRDefault="002240ED" w:rsidP="002240ED">
      <w:pPr>
        <w:pStyle w:val="ListParagraph"/>
        <w:numPr>
          <w:ilvl w:val="0"/>
          <w:numId w:val="37"/>
        </w:numPr>
        <w:spacing w:after="0" w:line="240" w:lineRule="auto"/>
        <w:jc w:val="both"/>
        <w:rPr>
          <w:rFonts w:ascii="Palatino Linotype" w:hAnsi="Palatino Linotype"/>
          <w:sz w:val="22"/>
          <w:szCs w:val="22"/>
        </w:rPr>
      </w:pPr>
      <w:r w:rsidRPr="002240ED">
        <w:rPr>
          <w:rFonts w:ascii="Palatino Linotype" w:hAnsi="Palatino Linotype"/>
          <w:sz w:val="22"/>
          <w:szCs w:val="22"/>
        </w:rPr>
        <w:t xml:space="preserve">Market capitalisation of all economies of Developed as well as BRICS declined during August, 2019. </w:t>
      </w:r>
    </w:p>
    <w:p w:rsidR="002240ED" w:rsidRPr="002240ED" w:rsidRDefault="002240ED" w:rsidP="002240ED">
      <w:pPr>
        <w:pStyle w:val="ListParagraph"/>
        <w:numPr>
          <w:ilvl w:val="0"/>
          <w:numId w:val="37"/>
        </w:numPr>
        <w:spacing w:after="0" w:line="240" w:lineRule="auto"/>
        <w:jc w:val="both"/>
        <w:rPr>
          <w:rFonts w:ascii="Palatino Linotype" w:hAnsi="Palatino Linotype"/>
          <w:sz w:val="22"/>
          <w:szCs w:val="22"/>
        </w:rPr>
      </w:pPr>
      <w:r w:rsidRPr="002240ED">
        <w:rPr>
          <w:rFonts w:ascii="Palatino Linotype" w:hAnsi="Palatino Linotype"/>
          <w:sz w:val="22"/>
          <w:szCs w:val="22"/>
        </w:rPr>
        <w:t>Among developed nations, market cap of the Singapore Exchange fell the most in percentage terms 7.09 per cent ($50 billion), followed by NYSE of the US by 7.04 per cent ($1717 billion) and Hong Kong Exchanges and Clearing by 6.69 per cent ($274 billion).</w:t>
      </w:r>
    </w:p>
    <w:p w:rsidR="002240ED" w:rsidRPr="002240ED" w:rsidRDefault="002240ED" w:rsidP="002240ED">
      <w:pPr>
        <w:pStyle w:val="ListParagraph"/>
        <w:numPr>
          <w:ilvl w:val="0"/>
          <w:numId w:val="37"/>
        </w:numPr>
        <w:spacing w:after="0" w:line="240" w:lineRule="auto"/>
        <w:jc w:val="both"/>
        <w:outlineLvl w:val="0"/>
        <w:rPr>
          <w:rFonts w:ascii="Palatino Linotype" w:hAnsi="Palatino Linotype"/>
          <w:b/>
          <w:color w:val="0070C0"/>
          <w:sz w:val="22"/>
          <w:szCs w:val="22"/>
        </w:rPr>
      </w:pPr>
      <w:r w:rsidRPr="002240ED">
        <w:rPr>
          <w:rFonts w:ascii="Palatino Linotype" w:hAnsi="Palatino Linotype"/>
          <w:sz w:val="22"/>
          <w:szCs w:val="22"/>
        </w:rPr>
        <w:t xml:space="preserve">Among BRICS nations, market capitalisation of B3-Brasil BolsaBalcão declined by 7.94 per cent ($86 billion) followed by Moscow Exchange by 5.68 per cent ($40.5 billion) and Shanghai Stock Exchange by 5.09 per cent ($ 244 billion).  BSE India Limited fell by 3.94 per cent or by $ 80 billion in value.  </w:t>
      </w:r>
    </w:p>
    <w:p w:rsidR="002240ED" w:rsidRPr="002240ED" w:rsidRDefault="002240ED" w:rsidP="002240ED">
      <w:pPr>
        <w:outlineLvl w:val="0"/>
        <w:rPr>
          <w:rFonts w:ascii="Palatino Linotype" w:hAnsi="Palatino Linotype"/>
          <w:b/>
          <w:color w:val="0070C0"/>
          <w:sz w:val="22"/>
          <w:szCs w:val="22"/>
        </w:rPr>
      </w:pPr>
    </w:p>
    <w:p w:rsidR="002240ED" w:rsidRPr="00BB2C78" w:rsidRDefault="002240ED" w:rsidP="002240ED">
      <w:pPr>
        <w:rPr>
          <w:rFonts w:ascii="Garamond" w:hAnsi="Garamond"/>
          <w:b/>
        </w:rPr>
      </w:pPr>
      <w:r w:rsidRPr="00842D76">
        <w:rPr>
          <w:rFonts w:ascii="Garamond" w:hAnsi="Garamond"/>
          <w:b/>
          <w:color w:val="0070C0"/>
        </w:rPr>
        <w:br w:type="page"/>
      </w:r>
      <w:r w:rsidRPr="00BB2C78">
        <w:rPr>
          <w:rFonts w:ascii="Garamond" w:hAnsi="Garamond"/>
          <w:b/>
        </w:rPr>
        <w:lastRenderedPageBreak/>
        <w:t>Table A4: Domestic Market Capitalisation of Major Exchanges</w:t>
      </w:r>
    </w:p>
    <w:p w:rsidR="002240ED" w:rsidRPr="00BB2C78" w:rsidRDefault="002240ED" w:rsidP="002240ED">
      <w:pPr>
        <w:ind w:left="5760" w:firstLine="720"/>
        <w:jc w:val="right"/>
        <w:outlineLvl w:val="0"/>
        <w:rPr>
          <w:rFonts w:ascii="Garamond" w:hAnsi="Garamond"/>
          <w:sz w:val="20"/>
          <w:szCs w:val="20"/>
        </w:rPr>
      </w:pPr>
      <w:r w:rsidRPr="00BB2C78">
        <w:rPr>
          <w:rFonts w:ascii="Garamond" w:hAnsi="Garamond"/>
          <w:sz w:val="20"/>
          <w:szCs w:val="20"/>
        </w:rPr>
        <w:t>(US$ Million)</w:t>
      </w:r>
    </w:p>
    <w:tbl>
      <w:tblPr>
        <w:tblW w:w="9299" w:type="dxa"/>
        <w:jc w:val="center"/>
        <w:tblLayout w:type="fixed"/>
        <w:tblLook w:val="04A0" w:firstRow="1" w:lastRow="0" w:firstColumn="1" w:lastColumn="0" w:noHBand="0" w:noVBand="1"/>
      </w:tblPr>
      <w:tblGrid>
        <w:gridCol w:w="447"/>
        <w:gridCol w:w="1253"/>
        <w:gridCol w:w="3720"/>
        <w:gridCol w:w="1293"/>
        <w:gridCol w:w="1293"/>
        <w:gridCol w:w="1293"/>
      </w:tblGrid>
      <w:tr w:rsidR="002240ED" w:rsidRPr="00BB2C78" w:rsidTr="002240ED">
        <w:trPr>
          <w:cantSplit/>
          <w:trHeight w:val="20"/>
          <w:jc w:val="center"/>
        </w:trPr>
        <w:tc>
          <w:tcPr>
            <w:tcW w:w="447" w:type="dxa"/>
            <w:tcBorders>
              <w:top w:val="nil"/>
              <w:left w:val="nil"/>
              <w:bottom w:val="nil"/>
              <w:right w:val="nil"/>
            </w:tcBorders>
            <w:shd w:val="clear" w:color="auto" w:fill="auto"/>
            <w:vAlign w:val="center"/>
            <w:hideMark/>
          </w:tcPr>
          <w:p w:rsidR="002240ED" w:rsidRPr="00BB2C78" w:rsidRDefault="002240ED" w:rsidP="002240ED">
            <w:pPr>
              <w:rPr>
                <w:rFonts w:ascii="Times New Roman" w:eastAsia="Times New Roman" w:hAnsi="Times New Roman"/>
                <w:b/>
                <w:bCs/>
                <w:sz w:val="20"/>
                <w:szCs w:val="20"/>
                <w:lang w:val="en-US" w:bidi="hi-IN"/>
              </w:rPr>
            </w:pPr>
          </w:p>
        </w:tc>
        <w:tc>
          <w:tcPr>
            <w:tcW w:w="1253" w:type="dxa"/>
            <w:tcBorders>
              <w:top w:val="single" w:sz="8" w:space="0" w:color="auto"/>
              <w:left w:val="single" w:sz="8" w:space="0" w:color="auto"/>
              <w:bottom w:val="nil"/>
              <w:right w:val="nil"/>
            </w:tcBorders>
            <w:shd w:val="clear" w:color="000000" w:fill="B4C6E7"/>
            <w:noWrap/>
            <w:vAlign w:val="center"/>
            <w:hideMark/>
          </w:tcPr>
          <w:p w:rsidR="002240ED" w:rsidRPr="00BB2C78" w:rsidRDefault="002240ED" w:rsidP="002240ED">
            <w:pPr>
              <w:rPr>
                <w:rFonts w:ascii="Garamond" w:eastAsia="Times New Roman" w:hAnsi="Garamond" w:cs="Calibri"/>
                <w:b/>
                <w:bCs/>
                <w:sz w:val="20"/>
                <w:szCs w:val="20"/>
                <w:lang w:val="en-US" w:bidi="hi-IN"/>
              </w:rPr>
            </w:pPr>
            <w:r w:rsidRPr="00BB2C78">
              <w:rPr>
                <w:rFonts w:ascii="Garamond" w:eastAsia="Times New Roman" w:hAnsi="Garamond" w:cs="Calibri"/>
                <w:b/>
                <w:bCs/>
                <w:sz w:val="20"/>
                <w:szCs w:val="20"/>
                <w:lang w:val="en-US" w:bidi="hi-IN"/>
              </w:rPr>
              <w:t>Country</w:t>
            </w:r>
          </w:p>
        </w:tc>
        <w:tc>
          <w:tcPr>
            <w:tcW w:w="3720" w:type="dxa"/>
            <w:tcBorders>
              <w:top w:val="single" w:sz="8" w:space="0" w:color="auto"/>
              <w:left w:val="single" w:sz="8" w:space="0" w:color="auto"/>
              <w:bottom w:val="nil"/>
              <w:right w:val="nil"/>
            </w:tcBorders>
            <w:shd w:val="clear" w:color="000000" w:fill="B4C6E7"/>
            <w:noWrap/>
            <w:vAlign w:val="center"/>
            <w:hideMark/>
          </w:tcPr>
          <w:p w:rsidR="002240ED" w:rsidRPr="00BB2C78" w:rsidRDefault="002240ED" w:rsidP="002240ED">
            <w:pPr>
              <w:rPr>
                <w:rFonts w:ascii="Garamond" w:eastAsia="Times New Roman" w:hAnsi="Garamond" w:cs="Calibri"/>
                <w:b/>
                <w:bCs/>
                <w:sz w:val="20"/>
                <w:szCs w:val="20"/>
                <w:lang w:val="en-US" w:bidi="hi-IN"/>
              </w:rPr>
            </w:pPr>
            <w:r w:rsidRPr="00BB2C78">
              <w:rPr>
                <w:rFonts w:ascii="Garamond" w:eastAsia="Times New Roman" w:hAnsi="Garamond" w:cs="Calibri"/>
                <w:b/>
                <w:bCs/>
                <w:sz w:val="20"/>
                <w:szCs w:val="20"/>
                <w:lang w:val="en-US" w:bidi="hi-IN"/>
              </w:rPr>
              <w:t>Exchange</w:t>
            </w:r>
          </w:p>
        </w:tc>
        <w:tc>
          <w:tcPr>
            <w:tcW w:w="1293" w:type="dxa"/>
            <w:tcBorders>
              <w:top w:val="single" w:sz="8" w:space="0" w:color="auto"/>
              <w:left w:val="single" w:sz="8" w:space="0" w:color="auto"/>
              <w:bottom w:val="single" w:sz="8" w:space="0" w:color="auto"/>
              <w:right w:val="nil"/>
            </w:tcBorders>
            <w:shd w:val="clear" w:color="000000" w:fill="B4C6E7"/>
            <w:noWrap/>
            <w:vAlign w:val="center"/>
            <w:hideMark/>
          </w:tcPr>
          <w:p w:rsidR="002240ED" w:rsidRPr="00BB2C78" w:rsidRDefault="002240ED" w:rsidP="002240ED">
            <w:pPr>
              <w:jc w:val="right"/>
              <w:rPr>
                <w:rFonts w:ascii="Garamond" w:eastAsia="Times New Roman" w:hAnsi="Garamond" w:cs="Calibri"/>
                <w:b/>
                <w:bCs/>
                <w:sz w:val="20"/>
                <w:szCs w:val="20"/>
                <w:lang w:val="en-US" w:bidi="hi-IN"/>
              </w:rPr>
            </w:pPr>
            <w:r w:rsidRPr="00BB2C78">
              <w:rPr>
                <w:rFonts w:ascii="Garamond" w:eastAsia="Times New Roman" w:hAnsi="Garamond" w:cs="Calibri"/>
                <w:b/>
                <w:bCs/>
                <w:sz w:val="20"/>
                <w:szCs w:val="20"/>
                <w:lang w:val="en-US" w:bidi="hi-IN"/>
              </w:rPr>
              <w:t>Jul-19</w:t>
            </w:r>
          </w:p>
        </w:tc>
        <w:tc>
          <w:tcPr>
            <w:tcW w:w="1293" w:type="dxa"/>
            <w:tcBorders>
              <w:top w:val="single" w:sz="8" w:space="0" w:color="auto"/>
              <w:left w:val="single" w:sz="8" w:space="0" w:color="auto"/>
              <w:bottom w:val="single" w:sz="8" w:space="0" w:color="auto"/>
              <w:right w:val="single" w:sz="8" w:space="0" w:color="auto"/>
            </w:tcBorders>
            <w:shd w:val="clear" w:color="000000" w:fill="B4C6E7"/>
            <w:noWrap/>
            <w:vAlign w:val="center"/>
            <w:hideMark/>
          </w:tcPr>
          <w:p w:rsidR="002240ED" w:rsidRPr="00BB2C78" w:rsidRDefault="002240ED" w:rsidP="002240ED">
            <w:pPr>
              <w:jc w:val="right"/>
              <w:rPr>
                <w:rFonts w:ascii="Garamond" w:eastAsia="Times New Roman" w:hAnsi="Garamond" w:cs="Calibri"/>
                <w:b/>
                <w:bCs/>
                <w:sz w:val="20"/>
                <w:szCs w:val="20"/>
                <w:lang w:val="en-US" w:bidi="hi-IN"/>
              </w:rPr>
            </w:pPr>
            <w:r w:rsidRPr="00BB2C78">
              <w:rPr>
                <w:rFonts w:ascii="Garamond" w:eastAsia="Times New Roman" w:hAnsi="Garamond" w:cs="Calibri"/>
                <w:b/>
                <w:bCs/>
                <w:sz w:val="20"/>
                <w:szCs w:val="20"/>
                <w:lang w:val="en-US" w:bidi="hi-IN"/>
              </w:rPr>
              <w:t>Aug-19</w:t>
            </w:r>
          </w:p>
        </w:tc>
        <w:tc>
          <w:tcPr>
            <w:tcW w:w="1293" w:type="dxa"/>
            <w:tcBorders>
              <w:top w:val="single" w:sz="8" w:space="0" w:color="auto"/>
              <w:left w:val="nil"/>
              <w:bottom w:val="single" w:sz="8" w:space="0" w:color="auto"/>
              <w:right w:val="single" w:sz="8" w:space="0" w:color="auto"/>
            </w:tcBorders>
            <w:shd w:val="clear" w:color="000000" w:fill="B4C6E7"/>
            <w:noWrap/>
            <w:vAlign w:val="center"/>
            <w:hideMark/>
          </w:tcPr>
          <w:p w:rsidR="002240ED" w:rsidRPr="00BB2C78" w:rsidRDefault="002240ED" w:rsidP="002240ED">
            <w:pPr>
              <w:rPr>
                <w:rFonts w:ascii="Garamond" w:eastAsia="Times New Roman" w:hAnsi="Garamond" w:cs="Calibri"/>
                <w:b/>
                <w:bCs/>
                <w:sz w:val="20"/>
                <w:szCs w:val="20"/>
                <w:lang w:val="en-US" w:bidi="hi-IN"/>
              </w:rPr>
            </w:pPr>
            <w:r w:rsidRPr="00BB2C78">
              <w:rPr>
                <w:rFonts w:ascii="Garamond" w:eastAsia="Times New Roman" w:hAnsi="Garamond" w:cs="Calibri"/>
                <w:b/>
                <w:bCs/>
                <w:sz w:val="20"/>
                <w:szCs w:val="20"/>
                <w:lang w:val="en-US" w:bidi="hi-IN"/>
              </w:rPr>
              <w:t>% Change</w:t>
            </w:r>
          </w:p>
        </w:tc>
      </w:tr>
      <w:tr w:rsidR="002240ED" w:rsidRPr="00BB2C78" w:rsidTr="002240ED">
        <w:trPr>
          <w:cantSplit/>
          <w:trHeight w:val="20"/>
          <w:jc w:val="center"/>
        </w:trPr>
        <w:tc>
          <w:tcPr>
            <w:tcW w:w="447" w:type="dxa"/>
            <w:vMerge w:val="restart"/>
            <w:tcBorders>
              <w:top w:val="single" w:sz="8" w:space="0" w:color="auto"/>
              <w:left w:val="single" w:sz="8" w:space="0" w:color="auto"/>
              <w:bottom w:val="single" w:sz="8" w:space="0" w:color="000000"/>
              <w:right w:val="nil"/>
            </w:tcBorders>
            <w:shd w:val="clear" w:color="000000" w:fill="B4C6E7"/>
            <w:noWrap/>
            <w:textDirection w:val="btLr"/>
            <w:vAlign w:val="center"/>
            <w:hideMark/>
          </w:tcPr>
          <w:p w:rsidR="002240ED" w:rsidRPr="00BB2C78" w:rsidRDefault="002240ED" w:rsidP="002240ED">
            <w:pPr>
              <w:jc w:val="center"/>
              <w:rPr>
                <w:rFonts w:ascii="Garamond" w:eastAsia="Times New Roman" w:hAnsi="Garamond" w:cs="Calibri"/>
                <w:b/>
                <w:bCs/>
                <w:sz w:val="20"/>
                <w:szCs w:val="20"/>
                <w:lang w:val="en-US" w:bidi="hi-IN"/>
              </w:rPr>
            </w:pPr>
            <w:r w:rsidRPr="00BB2C78">
              <w:rPr>
                <w:rFonts w:ascii="Garamond" w:eastAsia="Times New Roman" w:hAnsi="Garamond" w:cs="Calibri"/>
                <w:b/>
                <w:bCs/>
                <w:sz w:val="20"/>
                <w:szCs w:val="20"/>
                <w:lang w:val="en-US" w:bidi="hi-IN"/>
              </w:rPr>
              <w:t>Developed Markets</w:t>
            </w:r>
          </w:p>
        </w:tc>
        <w:tc>
          <w:tcPr>
            <w:tcW w:w="1253" w:type="dxa"/>
            <w:tcBorders>
              <w:top w:val="single" w:sz="8" w:space="0" w:color="auto"/>
              <w:left w:val="single" w:sz="8" w:space="0" w:color="auto"/>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USA</w:t>
            </w:r>
          </w:p>
        </w:tc>
        <w:tc>
          <w:tcPr>
            <w:tcW w:w="3720" w:type="dxa"/>
            <w:tcBorders>
              <w:top w:val="single" w:sz="8" w:space="0" w:color="auto"/>
              <w:left w:val="nil"/>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Nasdaq - US</w:t>
            </w:r>
          </w:p>
        </w:tc>
        <w:tc>
          <w:tcPr>
            <w:tcW w:w="1293" w:type="dxa"/>
            <w:tcBorders>
              <w:top w:val="nil"/>
              <w:left w:val="nil"/>
              <w:bottom w:val="nil"/>
              <w:right w:val="nil"/>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11,893,399</w:t>
            </w:r>
          </w:p>
        </w:tc>
        <w:tc>
          <w:tcPr>
            <w:tcW w:w="1293" w:type="dxa"/>
            <w:tcBorders>
              <w:top w:val="nil"/>
              <w:left w:val="single" w:sz="8" w:space="0" w:color="auto"/>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11,675,199</w:t>
            </w:r>
          </w:p>
        </w:tc>
        <w:tc>
          <w:tcPr>
            <w:tcW w:w="1293" w:type="dxa"/>
            <w:tcBorders>
              <w:top w:val="nil"/>
              <w:left w:val="nil"/>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(1.83)</w:t>
            </w:r>
          </w:p>
        </w:tc>
      </w:tr>
      <w:tr w:rsidR="002240ED" w:rsidRPr="00BB2C78" w:rsidTr="002240ED">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2240ED" w:rsidRPr="00BB2C78" w:rsidRDefault="002240ED" w:rsidP="002240ED">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USA</w:t>
            </w:r>
          </w:p>
        </w:tc>
        <w:tc>
          <w:tcPr>
            <w:tcW w:w="3720" w:type="dxa"/>
            <w:tcBorders>
              <w:top w:val="nil"/>
              <w:left w:val="nil"/>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NYSE</w:t>
            </w:r>
          </w:p>
        </w:tc>
        <w:tc>
          <w:tcPr>
            <w:tcW w:w="1293" w:type="dxa"/>
            <w:tcBorders>
              <w:top w:val="nil"/>
              <w:left w:val="nil"/>
              <w:bottom w:val="nil"/>
              <w:right w:val="nil"/>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24,382,730</w:t>
            </w:r>
          </w:p>
        </w:tc>
        <w:tc>
          <w:tcPr>
            <w:tcW w:w="1293" w:type="dxa"/>
            <w:tcBorders>
              <w:top w:val="nil"/>
              <w:left w:val="single" w:sz="8" w:space="0" w:color="auto"/>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22,666,010</w:t>
            </w:r>
          </w:p>
        </w:tc>
        <w:tc>
          <w:tcPr>
            <w:tcW w:w="1293" w:type="dxa"/>
            <w:tcBorders>
              <w:top w:val="nil"/>
              <w:left w:val="nil"/>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(7.04)</w:t>
            </w:r>
          </w:p>
        </w:tc>
      </w:tr>
      <w:tr w:rsidR="002240ED" w:rsidRPr="00BB2C78" w:rsidTr="002240ED">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2240ED" w:rsidRPr="00BB2C78" w:rsidRDefault="002240ED" w:rsidP="002240ED">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UK</w:t>
            </w:r>
          </w:p>
        </w:tc>
        <w:tc>
          <w:tcPr>
            <w:tcW w:w="3720" w:type="dxa"/>
            <w:tcBorders>
              <w:top w:val="nil"/>
              <w:left w:val="nil"/>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LSE Group</w:t>
            </w:r>
          </w:p>
        </w:tc>
        <w:tc>
          <w:tcPr>
            <w:tcW w:w="1293" w:type="dxa"/>
            <w:tcBorders>
              <w:top w:val="nil"/>
              <w:left w:val="nil"/>
              <w:bottom w:val="nil"/>
              <w:right w:val="nil"/>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3,812,153</w:t>
            </w:r>
          </w:p>
        </w:tc>
        <w:tc>
          <w:tcPr>
            <w:tcW w:w="1293" w:type="dxa"/>
            <w:tcBorders>
              <w:top w:val="nil"/>
              <w:left w:val="single" w:sz="8" w:space="0" w:color="auto"/>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3,669,728</w:t>
            </w:r>
          </w:p>
        </w:tc>
        <w:tc>
          <w:tcPr>
            <w:tcW w:w="1293" w:type="dxa"/>
            <w:tcBorders>
              <w:top w:val="nil"/>
              <w:left w:val="nil"/>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(3.74)</w:t>
            </w:r>
          </w:p>
        </w:tc>
      </w:tr>
      <w:tr w:rsidR="002240ED" w:rsidRPr="00BB2C78" w:rsidTr="002240ED">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2240ED" w:rsidRPr="00BB2C78" w:rsidRDefault="002240ED" w:rsidP="002240ED">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Pan Europe*</w:t>
            </w:r>
          </w:p>
        </w:tc>
        <w:tc>
          <w:tcPr>
            <w:tcW w:w="3720" w:type="dxa"/>
            <w:tcBorders>
              <w:top w:val="nil"/>
              <w:left w:val="nil"/>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Euronext</w:t>
            </w:r>
          </w:p>
        </w:tc>
        <w:tc>
          <w:tcPr>
            <w:tcW w:w="1293" w:type="dxa"/>
            <w:tcBorders>
              <w:top w:val="nil"/>
              <w:left w:val="nil"/>
              <w:bottom w:val="nil"/>
              <w:right w:val="nil"/>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4,329,940</w:t>
            </w:r>
          </w:p>
        </w:tc>
        <w:tc>
          <w:tcPr>
            <w:tcW w:w="1293" w:type="dxa"/>
            <w:tcBorders>
              <w:top w:val="nil"/>
              <w:left w:val="single" w:sz="8" w:space="0" w:color="auto"/>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4,200,985</w:t>
            </w:r>
          </w:p>
        </w:tc>
        <w:tc>
          <w:tcPr>
            <w:tcW w:w="1293" w:type="dxa"/>
            <w:tcBorders>
              <w:top w:val="nil"/>
              <w:left w:val="nil"/>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(2.98)</w:t>
            </w:r>
          </w:p>
        </w:tc>
      </w:tr>
      <w:tr w:rsidR="002240ED" w:rsidRPr="00BB2C78" w:rsidTr="002240ED">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2240ED" w:rsidRPr="00BB2C78" w:rsidRDefault="002240ED" w:rsidP="002240ED">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Germany</w:t>
            </w:r>
          </w:p>
        </w:tc>
        <w:tc>
          <w:tcPr>
            <w:tcW w:w="3720" w:type="dxa"/>
            <w:tcBorders>
              <w:top w:val="nil"/>
              <w:left w:val="nil"/>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Deutsche Boerse AG</w:t>
            </w:r>
          </w:p>
        </w:tc>
        <w:tc>
          <w:tcPr>
            <w:tcW w:w="1293" w:type="dxa"/>
            <w:tcBorders>
              <w:top w:val="nil"/>
              <w:left w:val="nil"/>
              <w:bottom w:val="nil"/>
              <w:right w:val="nil"/>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1,888,897</w:t>
            </w:r>
          </w:p>
        </w:tc>
        <w:tc>
          <w:tcPr>
            <w:tcW w:w="1293" w:type="dxa"/>
            <w:tcBorders>
              <w:top w:val="nil"/>
              <w:left w:val="single" w:sz="8" w:space="0" w:color="auto"/>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1,841,977</w:t>
            </w:r>
          </w:p>
        </w:tc>
        <w:tc>
          <w:tcPr>
            <w:tcW w:w="1293" w:type="dxa"/>
            <w:tcBorders>
              <w:top w:val="nil"/>
              <w:left w:val="nil"/>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(2.48)</w:t>
            </w:r>
          </w:p>
        </w:tc>
      </w:tr>
      <w:tr w:rsidR="002240ED" w:rsidRPr="00BB2C78" w:rsidTr="002240ED">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2240ED" w:rsidRPr="00BB2C78" w:rsidRDefault="002240ED" w:rsidP="002240ED">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Spain</w:t>
            </w:r>
          </w:p>
        </w:tc>
        <w:tc>
          <w:tcPr>
            <w:tcW w:w="3720" w:type="dxa"/>
            <w:tcBorders>
              <w:top w:val="nil"/>
              <w:left w:val="nil"/>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BME Spanish Exchanges</w:t>
            </w:r>
          </w:p>
        </w:tc>
        <w:tc>
          <w:tcPr>
            <w:tcW w:w="1293" w:type="dxa"/>
            <w:tcBorders>
              <w:top w:val="nil"/>
              <w:left w:val="nil"/>
              <w:bottom w:val="nil"/>
              <w:right w:val="nil"/>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737,907</w:t>
            </w:r>
          </w:p>
        </w:tc>
        <w:tc>
          <w:tcPr>
            <w:tcW w:w="1293" w:type="dxa"/>
            <w:tcBorders>
              <w:top w:val="nil"/>
              <w:left w:val="single" w:sz="8" w:space="0" w:color="auto"/>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723,047</w:t>
            </w:r>
          </w:p>
        </w:tc>
        <w:tc>
          <w:tcPr>
            <w:tcW w:w="1293" w:type="dxa"/>
            <w:tcBorders>
              <w:top w:val="nil"/>
              <w:left w:val="nil"/>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(2.01)</w:t>
            </w:r>
          </w:p>
        </w:tc>
      </w:tr>
      <w:tr w:rsidR="002240ED" w:rsidRPr="00BB2C78" w:rsidTr="002240ED">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2240ED" w:rsidRPr="00BB2C78" w:rsidRDefault="002240ED" w:rsidP="002240ED">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Japan</w:t>
            </w:r>
          </w:p>
        </w:tc>
        <w:tc>
          <w:tcPr>
            <w:tcW w:w="3720" w:type="dxa"/>
            <w:tcBorders>
              <w:top w:val="nil"/>
              <w:left w:val="nil"/>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Japan Exchange Group</w:t>
            </w:r>
          </w:p>
        </w:tc>
        <w:tc>
          <w:tcPr>
            <w:tcW w:w="1293" w:type="dxa"/>
            <w:tcBorders>
              <w:top w:val="nil"/>
              <w:left w:val="nil"/>
              <w:bottom w:val="nil"/>
              <w:right w:val="nil"/>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5,629,343</w:t>
            </w:r>
          </w:p>
        </w:tc>
        <w:tc>
          <w:tcPr>
            <w:tcW w:w="1293" w:type="dxa"/>
            <w:tcBorders>
              <w:top w:val="nil"/>
              <w:left w:val="single" w:sz="8" w:space="0" w:color="auto"/>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5,560,111</w:t>
            </w:r>
          </w:p>
        </w:tc>
        <w:tc>
          <w:tcPr>
            <w:tcW w:w="1293" w:type="dxa"/>
            <w:tcBorders>
              <w:top w:val="nil"/>
              <w:left w:val="nil"/>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(1.23)</w:t>
            </w:r>
          </w:p>
        </w:tc>
      </w:tr>
      <w:tr w:rsidR="002240ED" w:rsidRPr="00BB2C78" w:rsidTr="002240ED">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2240ED" w:rsidRPr="00BB2C78" w:rsidRDefault="002240ED" w:rsidP="002240ED">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Singapore</w:t>
            </w:r>
          </w:p>
        </w:tc>
        <w:tc>
          <w:tcPr>
            <w:tcW w:w="3720" w:type="dxa"/>
            <w:tcBorders>
              <w:top w:val="nil"/>
              <w:left w:val="nil"/>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Singapore Exchange</w:t>
            </w:r>
          </w:p>
        </w:tc>
        <w:tc>
          <w:tcPr>
            <w:tcW w:w="1293" w:type="dxa"/>
            <w:tcBorders>
              <w:top w:val="nil"/>
              <w:left w:val="nil"/>
              <w:bottom w:val="nil"/>
              <w:right w:val="nil"/>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711,911</w:t>
            </w:r>
          </w:p>
        </w:tc>
        <w:tc>
          <w:tcPr>
            <w:tcW w:w="1293" w:type="dxa"/>
            <w:tcBorders>
              <w:top w:val="nil"/>
              <w:left w:val="single" w:sz="8" w:space="0" w:color="auto"/>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661,457</w:t>
            </w:r>
          </w:p>
        </w:tc>
        <w:tc>
          <w:tcPr>
            <w:tcW w:w="1293" w:type="dxa"/>
            <w:tcBorders>
              <w:top w:val="nil"/>
              <w:left w:val="nil"/>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(7.09)</w:t>
            </w:r>
          </w:p>
        </w:tc>
      </w:tr>
      <w:tr w:rsidR="002240ED" w:rsidRPr="00BB2C78" w:rsidTr="002240ED">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2240ED" w:rsidRPr="00BB2C78" w:rsidRDefault="002240ED" w:rsidP="002240ED">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Hong Kong</w:t>
            </w:r>
          </w:p>
        </w:tc>
        <w:tc>
          <w:tcPr>
            <w:tcW w:w="3720" w:type="dxa"/>
            <w:tcBorders>
              <w:top w:val="nil"/>
              <w:left w:val="nil"/>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Hong Kong Exchanges and Clearing</w:t>
            </w:r>
          </w:p>
        </w:tc>
        <w:tc>
          <w:tcPr>
            <w:tcW w:w="1293" w:type="dxa"/>
            <w:tcBorders>
              <w:top w:val="nil"/>
              <w:left w:val="nil"/>
              <w:bottom w:val="nil"/>
              <w:right w:val="nil"/>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4,098,837</w:t>
            </w:r>
          </w:p>
        </w:tc>
        <w:tc>
          <w:tcPr>
            <w:tcW w:w="1293" w:type="dxa"/>
            <w:tcBorders>
              <w:top w:val="nil"/>
              <w:left w:val="single" w:sz="8" w:space="0" w:color="auto"/>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3,824,495</w:t>
            </w:r>
          </w:p>
        </w:tc>
        <w:tc>
          <w:tcPr>
            <w:tcW w:w="1293" w:type="dxa"/>
            <w:tcBorders>
              <w:top w:val="nil"/>
              <w:left w:val="nil"/>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(6.69)</w:t>
            </w:r>
          </w:p>
        </w:tc>
      </w:tr>
      <w:tr w:rsidR="002240ED" w:rsidRPr="00BB2C78" w:rsidTr="002240ED">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2240ED" w:rsidRPr="00BB2C78" w:rsidRDefault="002240ED" w:rsidP="002240ED">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South Korea</w:t>
            </w:r>
          </w:p>
        </w:tc>
        <w:tc>
          <w:tcPr>
            <w:tcW w:w="3720" w:type="dxa"/>
            <w:tcBorders>
              <w:top w:val="nil"/>
              <w:left w:val="nil"/>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Korea Exchange</w:t>
            </w:r>
          </w:p>
        </w:tc>
        <w:tc>
          <w:tcPr>
            <w:tcW w:w="1293" w:type="dxa"/>
            <w:tcBorders>
              <w:top w:val="nil"/>
              <w:left w:val="nil"/>
              <w:bottom w:val="nil"/>
              <w:right w:val="nil"/>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1,319,127</w:t>
            </w:r>
          </w:p>
        </w:tc>
        <w:tc>
          <w:tcPr>
            <w:tcW w:w="1293" w:type="dxa"/>
            <w:tcBorders>
              <w:top w:val="nil"/>
              <w:left w:val="single" w:sz="8" w:space="0" w:color="auto"/>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1,260,570</w:t>
            </w:r>
          </w:p>
        </w:tc>
        <w:tc>
          <w:tcPr>
            <w:tcW w:w="1293" w:type="dxa"/>
            <w:tcBorders>
              <w:top w:val="nil"/>
              <w:left w:val="nil"/>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(4.44)</w:t>
            </w:r>
          </w:p>
        </w:tc>
      </w:tr>
      <w:tr w:rsidR="002240ED" w:rsidRPr="00BB2C78" w:rsidTr="002240ED">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2240ED" w:rsidRPr="00BB2C78" w:rsidRDefault="002240ED" w:rsidP="002240ED">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Australia</w:t>
            </w:r>
          </w:p>
        </w:tc>
        <w:tc>
          <w:tcPr>
            <w:tcW w:w="3720" w:type="dxa"/>
            <w:tcBorders>
              <w:top w:val="nil"/>
              <w:left w:val="nil"/>
              <w:bottom w:val="single" w:sz="8" w:space="0" w:color="auto"/>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ASX Australian Securities Exchange</w:t>
            </w:r>
          </w:p>
        </w:tc>
        <w:tc>
          <w:tcPr>
            <w:tcW w:w="1293" w:type="dxa"/>
            <w:tcBorders>
              <w:top w:val="nil"/>
              <w:left w:val="nil"/>
              <w:bottom w:val="single" w:sz="8" w:space="0" w:color="auto"/>
              <w:right w:val="nil"/>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1,459,396</w:t>
            </w:r>
          </w:p>
        </w:tc>
        <w:tc>
          <w:tcPr>
            <w:tcW w:w="1293" w:type="dxa"/>
            <w:tcBorders>
              <w:top w:val="nil"/>
              <w:left w:val="single" w:sz="8" w:space="0" w:color="auto"/>
              <w:bottom w:val="single" w:sz="8" w:space="0" w:color="auto"/>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1,397,740</w:t>
            </w:r>
          </w:p>
        </w:tc>
        <w:tc>
          <w:tcPr>
            <w:tcW w:w="1293" w:type="dxa"/>
            <w:tcBorders>
              <w:top w:val="nil"/>
              <w:left w:val="nil"/>
              <w:bottom w:val="single" w:sz="8" w:space="0" w:color="auto"/>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(4.22)</w:t>
            </w:r>
          </w:p>
        </w:tc>
      </w:tr>
      <w:tr w:rsidR="002240ED" w:rsidRPr="00BB2C78" w:rsidTr="002240ED">
        <w:trPr>
          <w:cantSplit/>
          <w:trHeight w:val="20"/>
          <w:jc w:val="center"/>
        </w:trPr>
        <w:tc>
          <w:tcPr>
            <w:tcW w:w="447" w:type="dxa"/>
            <w:vMerge w:val="restart"/>
            <w:tcBorders>
              <w:top w:val="nil"/>
              <w:left w:val="single" w:sz="8" w:space="0" w:color="auto"/>
              <w:bottom w:val="single" w:sz="8" w:space="0" w:color="000000"/>
              <w:right w:val="nil"/>
            </w:tcBorders>
            <w:shd w:val="clear" w:color="000000" w:fill="B4C6E7"/>
            <w:noWrap/>
            <w:textDirection w:val="btLr"/>
            <w:vAlign w:val="center"/>
            <w:hideMark/>
          </w:tcPr>
          <w:p w:rsidR="002240ED" w:rsidRPr="00BB2C78" w:rsidRDefault="002240ED" w:rsidP="002240ED">
            <w:pPr>
              <w:jc w:val="center"/>
              <w:rPr>
                <w:rFonts w:ascii="Garamond" w:eastAsia="Times New Roman" w:hAnsi="Garamond" w:cs="Calibri"/>
                <w:b/>
                <w:bCs/>
                <w:sz w:val="20"/>
                <w:szCs w:val="20"/>
                <w:lang w:val="en-US" w:bidi="hi-IN"/>
              </w:rPr>
            </w:pPr>
            <w:r w:rsidRPr="00BB2C78">
              <w:rPr>
                <w:rFonts w:ascii="Garamond" w:eastAsia="Times New Roman" w:hAnsi="Garamond" w:cs="Calibri"/>
                <w:b/>
                <w:bCs/>
                <w:sz w:val="20"/>
                <w:szCs w:val="20"/>
                <w:lang w:val="en-US" w:bidi="hi-IN"/>
              </w:rPr>
              <w:t>BRICS</w:t>
            </w:r>
          </w:p>
        </w:tc>
        <w:tc>
          <w:tcPr>
            <w:tcW w:w="1253" w:type="dxa"/>
            <w:tcBorders>
              <w:top w:val="single" w:sz="8" w:space="0" w:color="auto"/>
              <w:left w:val="single" w:sz="8" w:space="0" w:color="auto"/>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Brazil</w:t>
            </w:r>
          </w:p>
        </w:tc>
        <w:tc>
          <w:tcPr>
            <w:tcW w:w="3720" w:type="dxa"/>
            <w:tcBorders>
              <w:top w:val="nil"/>
              <w:left w:val="nil"/>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B3 - BrasilBolsaBalcão</w:t>
            </w:r>
          </w:p>
        </w:tc>
        <w:tc>
          <w:tcPr>
            <w:tcW w:w="1293" w:type="dxa"/>
            <w:tcBorders>
              <w:top w:val="nil"/>
              <w:left w:val="nil"/>
              <w:bottom w:val="nil"/>
              <w:right w:val="nil"/>
            </w:tcBorders>
            <w:shd w:val="clear" w:color="auto" w:fill="auto"/>
            <w:noWrap/>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 xml:space="preserve"> 1,082,680 </w:t>
            </w:r>
          </w:p>
        </w:tc>
        <w:tc>
          <w:tcPr>
            <w:tcW w:w="1293" w:type="dxa"/>
            <w:tcBorders>
              <w:top w:val="nil"/>
              <w:left w:val="single" w:sz="8" w:space="0" w:color="auto"/>
              <w:bottom w:val="nil"/>
              <w:right w:val="single" w:sz="8" w:space="0" w:color="auto"/>
            </w:tcBorders>
            <w:shd w:val="clear" w:color="auto" w:fill="auto"/>
            <w:noWrap/>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 xml:space="preserve"> 996,672 </w:t>
            </w:r>
          </w:p>
        </w:tc>
        <w:tc>
          <w:tcPr>
            <w:tcW w:w="1293" w:type="dxa"/>
            <w:tcBorders>
              <w:top w:val="nil"/>
              <w:left w:val="nil"/>
              <w:bottom w:val="nil"/>
              <w:right w:val="single" w:sz="8" w:space="0" w:color="auto"/>
            </w:tcBorders>
            <w:shd w:val="clear" w:color="auto" w:fill="auto"/>
            <w:noWrap/>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 xml:space="preserve"> (7.94)</w:t>
            </w:r>
          </w:p>
        </w:tc>
      </w:tr>
      <w:tr w:rsidR="002240ED" w:rsidRPr="00BB2C78" w:rsidTr="002240ED">
        <w:trPr>
          <w:cantSplit/>
          <w:trHeight w:val="20"/>
          <w:jc w:val="center"/>
        </w:trPr>
        <w:tc>
          <w:tcPr>
            <w:tcW w:w="447" w:type="dxa"/>
            <w:vMerge/>
            <w:tcBorders>
              <w:top w:val="nil"/>
              <w:left w:val="single" w:sz="8" w:space="0" w:color="auto"/>
              <w:bottom w:val="single" w:sz="8" w:space="0" w:color="000000"/>
              <w:right w:val="nil"/>
            </w:tcBorders>
            <w:vAlign w:val="center"/>
            <w:hideMark/>
          </w:tcPr>
          <w:p w:rsidR="002240ED" w:rsidRPr="00BB2C78" w:rsidRDefault="002240ED" w:rsidP="002240ED">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Russia</w:t>
            </w:r>
          </w:p>
        </w:tc>
        <w:tc>
          <w:tcPr>
            <w:tcW w:w="3720" w:type="dxa"/>
            <w:tcBorders>
              <w:top w:val="nil"/>
              <w:left w:val="nil"/>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Moscow Exchange</w:t>
            </w:r>
          </w:p>
        </w:tc>
        <w:tc>
          <w:tcPr>
            <w:tcW w:w="1293" w:type="dxa"/>
            <w:tcBorders>
              <w:top w:val="nil"/>
              <w:left w:val="nil"/>
              <w:bottom w:val="nil"/>
              <w:right w:val="nil"/>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712,927</w:t>
            </w:r>
          </w:p>
        </w:tc>
        <w:tc>
          <w:tcPr>
            <w:tcW w:w="1293" w:type="dxa"/>
            <w:tcBorders>
              <w:top w:val="nil"/>
              <w:left w:val="single" w:sz="8" w:space="0" w:color="auto"/>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672,437</w:t>
            </w:r>
          </w:p>
        </w:tc>
        <w:tc>
          <w:tcPr>
            <w:tcW w:w="1293" w:type="dxa"/>
            <w:tcBorders>
              <w:top w:val="nil"/>
              <w:left w:val="nil"/>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(5.68)</w:t>
            </w:r>
          </w:p>
        </w:tc>
      </w:tr>
      <w:tr w:rsidR="002240ED" w:rsidRPr="00BB2C78" w:rsidTr="002240ED">
        <w:trPr>
          <w:cantSplit/>
          <w:trHeight w:val="20"/>
          <w:jc w:val="center"/>
        </w:trPr>
        <w:tc>
          <w:tcPr>
            <w:tcW w:w="447" w:type="dxa"/>
            <w:vMerge/>
            <w:tcBorders>
              <w:top w:val="nil"/>
              <w:left w:val="single" w:sz="8" w:space="0" w:color="auto"/>
              <w:bottom w:val="single" w:sz="8" w:space="0" w:color="000000"/>
              <w:right w:val="nil"/>
            </w:tcBorders>
            <w:vAlign w:val="center"/>
            <w:hideMark/>
          </w:tcPr>
          <w:p w:rsidR="002240ED" w:rsidRPr="00BB2C78" w:rsidRDefault="002240ED" w:rsidP="002240ED">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India</w:t>
            </w:r>
          </w:p>
        </w:tc>
        <w:tc>
          <w:tcPr>
            <w:tcW w:w="3720" w:type="dxa"/>
            <w:tcBorders>
              <w:top w:val="nil"/>
              <w:left w:val="nil"/>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BSE India Limited</w:t>
            </w:r>
          </w:p>
        </w:tc>
        <w:tc>
          <w:tcPr>
            <w:tcW w:w="1293" w:type="dxa"/>
            <w:tcBorders>
              <w:top w:val="nil"/>
              <w:left w:val="nil"/>
              <w:bottom w:val="nil"/>
              <w:right w:val="nil"/>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2,054,029</w:t>
            </w:r>
          </w:p>
        </w:tc>
        <w:tc>
          <w:tcPr>
            <w:tcW w:w="1293" w:type="dxa"/>
            <w:tcBorders>
              <w:top w:val="nil"/>
              <w:left w:val="single" w:sz="8" w:space="0" w:color="auto"/>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1,973,108</w:t>
            </w:r>
          </w:p>
        </w:tc>
        <w:tc>
          <w:tcPr>
            <w:tcW w:w="1293" w:type="dxa"/>
            <w:tcBorders>
              <w:top w:val="nil"/>
              <w:left w:val="nil"/>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(3.94)</w:t>
            </w:r>
          </w:p>
        </w:tc>
      </w:tr>
      <w:tr w:rsidR="002240ED" w:rsidRPr="00BB2C78" w:rsidTr="002240ED">
        <w:trPr>
          <w:cantSplit/>
          <w:trHeight w:val="20"/>
          <w:jc w:val="center"/>
        </w:trPr>
        <w:tc>
          <w:tcPr>
            <w:tcW w:w="447" w:type="dxa"/>
            <w:vMerge/>
            <w:tcBorders>
              <w:top w:val="nil"/>
              <w:left w:val="single" w:sz="8" w:space="0" w:color="auto"/>
              <w:bottom w:val="single" w:sz="8" w:space="0" w:color="000000"/>
              <w:right w:val="nil"/>
            </w:tcBorders>
            <w:vAlign w:val="center"/>
            <w:hideMark/>
          </w:tcPr>
          <w:p w:rsidR="002240ED" w:rsidRPr="00BB2C78" w:rsidRDefault="002240ED" w:rsidP="002240ED">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India</w:t>
            </w:r>
          </w:p>
        </w:tc>
        <w:tc>
          <w:tcPr>
            <w:tcW w:w="3720" w:type="dxa"/>
            <w:tcBorders>
              <w:top w:val="nil"/>
              <w:left w:val="nil"/>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National Stock Exchange of India Limited</w:t>
            </w:r>
          </w:p>
        </w:tc>
        <w:tc>
          <w:tcPr>
            <w:tcW w:w="1293" w:type="dxa"/>
            <w:tcBorders>
              <w:top w:val="nil"/>
              <w:left w:val="nil"/>
              <w:bottom w:val="nil"/>
              <w:right w:val="nil"/>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2,033,454</w:t>
            </w:r>
          </w:p>
        </w:tc>
        <w:tc>
          <w:tcPr>
            <w:tcW w:w="1293" w:type="dxa"/>
            <w:tcBorders>
              <w:top w:val="nil"/>
              <w:left w:val="single" w:sz="8" w:space="0" w:color="auto"/>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1,955,995</w:t>
            </w:r>
          </w:p>
        </w:tc>
        <w:tc>
          <w:tcPr>
            <w:tcW w:w="1293" w:type="dxa"/>
            <w:tcBorders>
              <w:top w:val="nil"/>
              <w:left w:val="nil"/>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(3.81)</w:t>
            </w:r>
          </w:p>
        </w:tc>
      </w:tr>
      <w:tr w:rsidR="002240ED" w:rsidRPr="00BB2C78" w:rsidTr="002240ED">
        <w:trPr>
          <w:cantSplit/>
          <w:trHeight w:val="20"/>
          <w:jc w:val="center"/>
        </w:trPr>
        <w:tc>
          <w:tcPr>
            <w:tcW w:w="447" w:type="dxa"/>
            <w:vMerge/>
            <w:tcBorders>
              <w:top w:val="nil"/>
              <w:left w:val="single" w:sz="8" w:space="0" w:color="auto"/>
              <w:bottom w:val="single" w:sz="8" w:space="0" w:color="000000"/>
              <w:right w:val="nil"/>
            </w:tcBorders>
            <w:vAlign w:val="center"/>
            <w:hideMark/>
          </w:tcPr>
          <w:p w:rsidR="002240ED" w:rsidRPr="00BB2C78" w:rsidRDefault="002240ED" w:rsidP="002240ED">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China</w:t>
            </w:r>
          </w:p>
        </w:tc>
        <w:tc>
          <w:tcPr>
            <w:tcW w:w="3720" w:type="dxa"/>
            <w:tcBorders>
              <w:top w:val="nil"/>
              <w:left w:val="nil"/>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Shanghai Stock Exchange</w:t>
            </w:r>
          </w:p>
        </w:tc>
        <w:tc>
          <w:tcPr>
            <w:tcW w:w="1293" w:type="dxa"/>
            <w:tcBorders>
              <w:top w:val="nil"/>
              <w:left w:val="nil"/>
              <w:bottom w:val="nil"/>
              <w:right w:val="nil"/>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4,798,975</w:t>
            </w:r>
          </w:p>
        </w:tc>
        <w:tc>
          <w:tcPr>
            <w:tcW w:w="1293" w:type="dxa"/>
            <w:tcBorders>
              <w:top w:val="nil"/>
              <w:left w:val="single" w:sz="8" w:space="0" w:color="auto"/>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4,554,659</w:t>
            </w:r>
          </w:p>
        </w:tc>
        <w:tc>
          <w:tcPr>
            <w:tcW w:w="1293" w:type="dxa"/>
            <w:tcBorders>
              <w:top w:val="nil"/>
              <w:left w:val="nil"/>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(5.09)</w:t>
            </w:r>
          </w:p>
        </w:tc>
      </w:tr>
      <w:tr w:rsidR="002240ED" w:rsidRPr="00BB2C78" w:rsidTr="002240ED">
        <w:trPr>
          <w:cantSplit/>
          <w:trHeight w:val="20"/>
          <w:jc w:val="center"/>
        </w:trPr>
        <w:tc>
          <w:tcPr>
            <w:tcW w:w="447" w:type="dxa"/>
            <w:vMerge/>
            <w:tcBorders>
              <w:top w:val="nil"/>
              <w:left w:val="single" w:sz="8" w:space="0" w:color="auto"/>
              <w:bottom w:val="single" w:sz="8" w:space="0" w:color="000000"/>
              <w:right w:val="nil"/>
            </w:tcBorders>
            <w:vAlign w:val="center"/>
            <w:hideMark/>
          </w:tcPr>
          <w:p w:rsidR="002240ED" w:rsidRPr="00BB2C78" w:rsidRDefault="002240ED" w:rsidP="002240ED">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China</w:t>
            </w:r>
          </w:p>
        </w:tc>
        <w:tc>
          <w:tcPr>
            <w:tcW w:w="3720" w:type="dxa"/>
            <w:tcBorders>
              <w:top w:val="nil"/>
              <w:left w:val="nil"/>
              <w:bottom w:val="nil"/>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Shenzhen Stock Exchange</w:t>
            </w:r>
          </w:p>
        </w:tc>
        <w:tc>
          <w:tcPr>
            <w:tcW w:w="1293" w:type="dxa"/>
            <w:tcBorders>
              <w:top w:val="nil"/>
              <w:left w:val="nil"/>
              <w:bottom w:val="nil"/>
              <w:right w:val="nil"/>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3,052,613</w:t>
            </w:r>
          </w:p>
        </w:tc>
        <w:tc>
          <w:tcPr>
            <w:tcW w:w="1293" w:type="dxa"/>
            <w:tcBorders>
              <w:top w:val="nil"/>
              <w:left w:val="single" w:sz="8" w:space="0" w:color="auto"/>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2,986,345</w:t>
            </w:r>
          </w:p>
        </w:tc>
        <w:tc>
          <w:tcPr>
            <w:tcW w:w="1293" w:type="dxa"/>
            <w:tcBorders>
              <w:top w:val="nil"/>
              <w:left w:val="nil"/>
              <w:bottom w:val="nil"/>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(2.17)</w:t>
            </w:r>
          </w:p>
        </w:tc>
      </w:tr>
      <w:tr w:rsidR="002240ED" w:rsidRPr="00BB2C78" w:rsidTr="002240ED">
        <w:trPr>
          <w:cantSplit/>
          <w:trHeight w:val="20"/>
          <w:jc w:val="center"/>
        </w:trPr>
        <w:tc>
          <w:tcPr>
            <w:tcW w:w="447" w:type="dxa"/>
            <w:vMerge/>
            <w:tcBorders>
              <w:top w:val="nil"/>
              <w:left w:val="single" w:sz="8" w:space="0" w:color="auto"/>
              <w:bottom w:val="single" w:sz="8" w:space="0" w:color="000000"/>
              <w:right w:val="nil"/>
            </w:tcBorders>
            <w:vAlign w:val="center"/>
            <w:hideMark/>
          </w:tcPr>
          <w:p w:rsidR="002240ED" w:rsidRPr="00BB2C78" w:rsidRDefault="002240ED" w:rsidP="002240ED">
            <w:pPr>
              <w:rPr>
                <w:rFonts w:ascii="Garamond" w:eastAsia="Times New Roman" w:hAnsi="Garamond" w:cs="Calibri"/>
                <w:b/>
                <w:bCs/>
                <w:sz w:val="20"/>
                <w:szCs w:val="20"/>
                <w:lang w:val="en-US" w:bidi="hi-IN"/>
              </w:rPr>
            </w:pPr>
          </w:p>
        </w:tc>
        <w:tc>
          <w:tcPr>
            <w:tcW w:w="1253" w:type="dxa"/>
            <w:tcBorders>
              <w:top w:val="nil"/>
              <w:left w:val="single" w:sz="8" w:space="0" w:color="auto"/>
              <w:bottom w:val="single" w:sz="8" w:space="0" w:color="auto"/>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South Africa</w:t>
            </w:r>
          </w:p>
        </w:tc>
        <w:tc>
          <w:tcPr>
            <w:tcW w:w="3720" w:type="dxa"/>
            <w:tcBorders>
              <w:top w:val="nil"/>
              <w:left w:val="nil"/>
              <w:bottom w:val="single" w:sz="8" w:space="0" w:color="auto"/>
              <w:right w:val="single" w:sz="8" w:space="0" w:color="auto"/>
            </w:tcBorders>
            <w:shd w:val="clear" w:color="000000" w:fill="D9E1F2"/>
            <w:noWrap/>
            <w:vAlign w:val="center"/>
            <w:hideMark/>
          </w:tcPr>
          <w:p w:rsidR="002240ED" w:rsidRPr="00BB2C78" w:rsidRDefault="002240ED" w:rsidP="002240ED">
            <w:pPr>
              <w:rPr>
                <w:rFonts w:ascii="Garamond" w:hAnsi="Garamond" w:cs="Calibri"/>
                <w:sz w:val="20"/>
                <w:szCs w:val="20"/>
              </w:rPr>
            </w:pPr>
            <w:r w:rsidRPr="00BB2C78">
              <w:rPr>
                <w:rFonts w:ascii="Garamond" w:hAnsi="Garamond" w:cs="Calibri"/>
                <w:sz w:val="20"/>
                <w:szCs w:val="20"/>
              </w:rPr>
              <w:t>Johannesburg Stock Exchange</w:t>
            </w:r>
          </w:p>
        </w:tc>
        <w:tc>
          <w:tcPr>
            <w:tcW w:w="1293" w:type="dxa"/>
            <w:tcBorders>
              <w:top w:val="nil"/>
              <w:left w:val="nil"/>
              <w:bottom w:val="single" w:sz="8" w:space="0" w:color="auto"/>
              <w:right w:val="nil"/>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958,471</w:t>
            </w:r>
          </w:p>
        </w:tc>
        <w:tc>
          <w:tcPr>
            <w:tcW w:w="1293" w:type="dxa"/>
            <w:tcBorders>
              <w:top w:val="nil"/>
              <w:left w:val="single" w:sz="8" w:space="0" w:color="auto"/>
              <w:bottom w:val="single" w:sz="8" w:space="0" w:color="auto"/>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NA</w:t>
            </w:r>
          </w:p>
        </w:tc>
        <w:tc>
          <w:tcPr>
            <w:tcW w:w="1293" w:type="dxa"/>
            <w:tcBorders>
              <w:top w:val="nil"/>
              <w:left w:val="nil"/>
              <w:bottom w:val="single" w:sz="8" w:space="0" w:color="auto"/>
              <w:right w:val="single" w:sz="8" w:space="0" w:color="auto"/>
            </w:tcBorders>
            <w:shd w:val="clear" w:color="auto" w:fill="auto"/>
            <w:noWrap/>
            <w:vAlign w:val="bottom"/>
            <w:hideMark/>
          </w:tcPr>
          <w:p w:rsidR="002240ED" w:rsidRPr="00BB2C78" w:rsidRDefault="002240ED" w:rsidP="002240ED">
            <w:pPr>
              <w:jc w:val="right"/>
              <w:rPr>
                <w:rFonts w:ascii="Garamond" w:eastAsia="Times New Roman" w:hAnsi="Garamond" w:cs="Calibri"/>
                <w:sz w:val="20"/>
                <w:szCs w:val="20"/>
                <w:lang w:val="en-US" w:bidi="hi-IN"/>
              </w:rPr>
            </w:pPr>
            <w:r w:rsidRPr="00BB2C78">
              <w:rPr>
                <w:rFonts w:ascii="Garamond" w:eastAsia="Times New Roman" w:hAnsi="Garamond" w:cs="Calibri"/>
                <w:sz w:val="20"/>
                <w:szCs w:val="20"/>
                <w:lang w:val="en-US" w:bidi="hi-IN"/>
              </w:rPr>
              <w:t>NA</w:t>
            </w:r>
          </w:p>
        </w:tc>
      </w:tr>
    </w:tbl>
    <w:p w:rsidR="002240ED" w:rsidRPr="00BB2C78" w:rsidRDefault="002240ED" w:rsidP="002240ED">
      <w:pPr>
        <w:jc w:val="both"/>
        <w:rPr>
          <w:rFonts w:ascii="Garamond" w:hAnsi="Garamond"/>
          <w:b/>
          <w:sz w:val="20"/>
        </w:rPr>
      </w:pPr>
    </w:p>
    <w:p w:rsidR="002240ED" w:rsidRPr="00BB2C78" w:rsidRDefault="002240ED" w:rsidP="002240ED">
      <w:pPr>
        <w:jc w:val="both"/>
        <w:rPr>
          <w:rFonts w:ascii="Garamond" w:hAnsi="Garamond"/>
          <w:b/>
          <w:sz w:val="20"/>
        </w:rPr>
      </w:pPr>
      <w:r w:rsidRPr="00BB2C78">
        <w:rPr>
          <w:rFonts w:ascii="Garamond" w:hAnsi="Garamond"/>
          <w:b/>
          <w:sz w:val="20"/>
        </w:rPr>
        <w:t>Notes:</w:t>
      </w:r>
    </w:p>
    <w:p w:rsidR="002240ED" w:rsidRPr="00BB2C78" w:rsidRDefault="002240ED" w:rsidP="002240ED">
      <w:pPr>
        <w:numPr>
          <w:ilvl w:val="0"/>
          <w:numId w:val="29"/>
        </w:numPr>
        <w:ind w:left="360"/>
        <w:contextualSpacing/>
        <w:jc w:val="both"/>
        <w:rPr>
          <w:rFonts w:ascii="Garamond" w:hAnsi="Garamond"/>
          <w:sz w:val="20"/>
        </w:rPr>
      </w:pPr>
      <w:r w:rsidRPr="00BB2C78">
        <w:rPr>
          <w:rFonts w:ascii="Garamond" w:hAnsi="Garamond"/>
          <w:sz w:val="20"/>
        </w:rPr>
        <w:t>Euronext: includes Belgium, England, France, Netherlands and Portugal</w:t>
      </w:r>
    </w:p>
    <w:p w:rsidR="002240ED" w:rsidRPr="00BB2C78" w:rsidRDefault="002240ED" w:rsidP="002240ED">
      <w:pPr>
        <w:numPr>
          <w:ilvl w:val="0"/>
          <w:numId w:val="29"/>
        </w:numPr>
        <w:ind w:left="360"/>
        <w:contextualSpacing/>
        <w:jc w:val="both"/>
        <w:rPr>
          <w:rFonts w:ascii="Garamond" w:hAnsi="Garamond"/>
          <w:sz w:val="20"/>
        </w:rPr>
      </w:pPr>
      <w:r w:rsidRPr="00BB2C78">
        <w:rPr>
          <w:rFonts w:ascii="Garamond" w:hAnsi="Garamond"/>
          <w:sz w:val="20"/>
        </w:rPr>
        <w:t>Johannesburg Stock Exchange: figures include the market capitalization of all listed companies, but exclude listed warrants, convertibles and investment funds</w:t>
      </w:r>
    </w:p>
    <w:p w:rsidR="002240ED" w:rsidRPr="00BB2C78" w:rsidRDefault="002240ED" w:rsidP="002240ED">
      <w:pPr>
        <w:numPr>
          <w:ilvl w:val="0"/>
          <w:numId w:val="29"/>
        </w:numPr>
        <w:ind w:left="360"/>
        <w:contextualSpacing/>
        <w:jc w:val="both"/>
        <w:rPr>
          <w:rFonts w:ascii="Garamond" w:hAnsi="Garamond"/>
          <w:sz w:val="20"/>
        </w:rPr>
      </w:pPr>
      <w:r w:rsidRPr="00BB2C78">
        <w:rPr>
          <w:rFonts w:ascii="Garamond" w:hAnsi="Garamond"/>
          <w:sz w:val="20"/>
        </w:rPr>
        <w:t>Korea Exchange: including Kosdaq market data</w:t>
      </w:r>
    </w:p>
    <w:p w:rsidR="002240ED" w:rsidRPr="00BB2C78" w:rsidRDefault="002240ED" w:rsidP="002240ED">
      <w:pPr>
        <w:numPr>
          <w:ilvl w:val="0"/>
          <w:numId w:val="29"/>
        </w:numPr>
        <w:ind w:left="360"/>
        <w:contextualSpacing/>
        <w:jc w:val="both"/>
        <w:rPr>
          <w:rFonts w:ascii="Garamond" w:hAnsi="Garamond"/>
          <w:sz w:val="20"/>
        </w:rPr>
      </w:pPr>
      <w:r w:rsidRPr="00BB2C78">
        <w:rPr>
          <w:rFonts w:ascii="Garamond" w:hAnsi="Garamond"/>
          <w:sz w:val="20"/>
        </w:rPr>
        <w:t>LSE Group: includes London Stock Exchange and BorsaItaliana</w:t>
      </w:r>
    </w:p>
    <w:p w:rsidR="002240ED" w:rsidRPr="00BB2C78" w:rsidRDefault="002240ED" w:rsidP="002240ED">
      <w:pPr>
        <w:numPr>
          <w:ilvl w:val="0"/>
          <w:numId w:val="29"/>
        </w:numPr>
        <w:ind w:left="360"/>
        <w:contextualSpacing/>
        <w:rPr>
          <w:rFonts w:ascii="Garamond" w:hAnsi="Garamond"/>
          <w:sz w:val="20"/>
        </w:rPr>
      </w:pPr>
      <w:r w:rsidRPr="00BB2C78">
        <w:rPr>
          <w:rFonts w:ascii="Garamond" w:hAnsi="Garamond"/>
          <w:sz w:val="20"/>
        </w:rPr>
        <w:t>NSE India: including “Emerge” market data</w:t>
      </w:r>
    </w:p>
    <w:p w:rsidR="002240ED" w:rsidRPr="00BB2C78" w:rsidRDefault="002240ED" w:rsidP="002240ED">
      <w:pPr>
        <w:numPr>
          <w:ilvl w:val="0"/>
          <w:numId w:val="29"/>
        </w:numPr>
        <w:ind w:left="360"/>
        <w:contextualSpacing/>
        <w:jc w:val="both"/>
        <w:rPr>
          <w:rFonts w:ascii="Garamond" w:hAnsi="Garamond"/>
          <w:sz w:val="20"/>
        </w:rPr>
      </w:pPr>
      <w:r w:rsidRPr="00BB2C78">
        <w:rPr>
          <w:rFonts w:ascii="Garamond" w:hAnsi="Garamond"/>
          <w:sz w:val="20"/>
        </w:rPr>
        <w:t xml:space="preserve">Singapore Exchange: market capitalization includes domestic listings and a substantial number of foreign listings, defined as companies whose principal place of business is outside of Singapore. </w:t>
      </w:r>
    </w:p>
    <w:p w:rsidR="002240ED" w:rsidRPr="00BB2C78" w:rsidRDefault="002240ED" w:rsidP="002240ED">
      <w:pPr>
        <w:jc w:val="both"/>
        <w:rPr>
          <w:rFonts w:ascii="Garamond" w:hAnsi="Garamond"/>
          <w:sz w:val="20"/>
        </w:rPr>
      </w:pPr>
      <w:r w:rsidRPr="00BB2C78">
        <w:rPr>
          <w:rFonts w:ascii="Garamond" w:hAnsi="Garamond"/>
          <w:sz w:val="20"/>
        </w:rPr>
        <w:t>NA - Not available</w:t>
      </w:r>
    </w:p>
    <w:p w:rsidR="002240ED" w:rsidRPr="00BB2C78" w:rsidRDefault="002240ED" w:rsidP="002240ED">
      <w:pPr>
        <w:jc w:val="both"/>
        <w:rPr>
          <w:rFonts w:ascii="Garamond" w:hAnsi="Garamond"/>
          <w:sz w:val="20"/>
        </w:rPr>
      </w:pPr>
      <w:r w:rsidRPr="00BB2C78">
        <w:rPr>
          <w:rFonts w:ascii="Garamond" w:hAnsi="Garamond"/>
          <w:b/>
          <w:sz w:val="20"/>
        </w:rPr>
        <w:t>Source:</w:t>
      </w:r>
      <w:r w:rsidRPr="00BB2C78">
        <w:rPr>
          <w:rFonts w:ascii="Garamond" w:hAnsi="Garamond"/>
          <w:sz w:val="20"/>
        </w:rPr>
        <w:t xml:space="preserve"> World Federation of Exchanges, BSE</w:t>
      </w:r>
    </w:p>
    <w:p w:rsidR="002240ED" w:rsidRPr="00842D76" w:rsidRDefault="002240ED" w:rsidP="002240ED">
      <w:pPr>
        <w:jc w:val="both"/>
        <w:outlineLvl w:val="0"/>
        <w:rPr>
          <w:rFonts w:ascii="Garamond" w:hAnsi="Garamond"/>
          <w:b/>
          <w:color w:val="0070C0"/>
        </w:rPr>
      </w:pPr>
    </w:p>
    <w:p w:rsidR="002240ED" w:rsidRPr="002240ED" w:rsidRDefault="002240ED" w:rsidP="002240ED">
      <w:pPr>
        <w:jc w:val="both"/>
        <w:outlineLvl w:val="0"/>
        <w:rPr>
          <w:rFonts w:ascii="Palatino Linotype" w:hAnsi="Palatino Linotype"/>
          <w:b/>
          <w:sz w:val="22"/>
          <w:szCs w:val="22"/>
        </w:rPr>
      </w:pPr>
      <w:r w:rsidRPr="002240ED">
        <w:rPr>
          <w:rFonts w:ascii="Palatino Linotype" w:hAnsi="Palatino Linotype"/>
          <w:b/>
          <w:sz w:val="22"/>
          <w:szCs w:val="22"/>
        </w:rPr>
        <w:t xml:space="preserve">Equity Derivatives:  </w:t>
      </w:r>
    </w:p>
    <w:p w:rsidR="002240ED" w:rsidRPr="002240ED" w:rsidRDefault="002240ED" w:rsidP="002240ED">
      <w:pPr>
        <w:jc w:val="both"/>
        <w:rPr>
          <w:rFonts w:ascii="Palatino Linotype" w:hAnsi="Palatino Linotype"/>
          <w:sz w:val="22"/>
          <w:szCs w:val="22"/>
        </w:rPr>
      </w:pPr>
    </w:p>
    <w:p w:rsidR="002240ED" w:rsidRPr="002240ED" w:rsidRDefault="002240ED" w:rsidP="002240ED">
      <w:pPr>
        <w:jc w:val="both"/>
        <w:rPr>
          <w:rFonts w:ascii="Palatino Linotype" w:hAnsi="Palatino Linotype"/>
          <w:sz w:val="22"/>
          <w:szCs w:val="22"/>
        </w:rPr>
      </w:pPr>
      <w:r w:rsidRPr="002240ED">
        <w:rPr>
          <w:rFonts w:ascii="Palatino Linotype" w:hAnsi="Palatino Linotype"/>
          <w:sz w:val="22"/>
          <w:szCs w:val="22"/>
        </w:rPr>
        <w:t xml:space="preserve">As per the latest data available from the World Federation of Exchanges, during August 2019, the following performance was recorded in equity derivatives markets across the globe (Table A5 and A6):  </w:t>
      </w:r>
    </w:p>
    <w:p w:rsidR="002240ED" w:rsidRPr="002240ED" w:rsidRDefault="002240ED" w:rsidP="002240ED">
      <w:pPr>
        <w:jc w:val="both"/>
        <w:rPr>
          <w:rFonts w:ascii="Palatino Linotype" w:hAnsi="Palatino Linotype"/>
          <w:b/>
          <w:sz w:val="22"/>
          <w:szCs w:val="22"/>
        </w:rPr>
      </w:pPr>
    </w:p>
    <w:p w:rsidR="002240ED" w:rsidRPr="002240ED" w:rsidRDefault="002240ED" w:rsidP="002240ED">
      <w:pPr>
        <w:jc w:val="both"/>
        <w:outlineLvl w:val="0"/>
        <w:rPr>
          <w:rFonts w:ascii="Palatino Linotype" w:hAnsi="Palatino Linotype"/>
          <w:b/>
          <w:sz w:val="22"/>
          <w:szCs w:val="22"/>
        </w:rPr>
      </w:pPr>
      <w:r w:rsidRPr="002240ED">
        <w:rPr>
          <w:rFonts w:ascii="Palatino Linotype" w:hAnsi="Palatino Linotype"/>
          <w:b/>
          <w:sz w:val="22"/>
          <w:szCs w:val="22"/>
        </w:rPr>
        <w:t>Single Stock Futures:</w:t>
      </w:r>
    </w:p>
    <w:p w:rsidR="002240ED" w:rsidRPr="002240ED" w:rsidRDefault="002240ED" w:rsidP="002240ED">
      <w:pPr>
        <w:jc w:val="both"/>
        <w:outlineLvl w:val="0"/>
        <w:rPr>
          <w:rFonts w:ascii="Palatino Linotype" w:hAnsi="Palatino Linotype"/>
          <w:b/>
          <w:sz w:val="22"/>
          <w:szCs w:val="22"/>
        </w:rPr>
      </w:pPr>
    </w:p>
    <w:p w:rsidR="002240ED" w:rsidRPr="002240ED" w:rsidRDefault="002240ED" w:rsidP="002240ED">
      <w:pPr>
        <w:pStyle w:val="CM14"/>
        <w:numPr>
          <w:ilvl w:val="0"/>
          <w:numId w:val="30"/>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 xml:space="preserve">In Asia-Pacific region, the Korean Exchange registered trades in 50.9 million contracts, which declined by 12 per cent over the previous month.  During the month, National Stock Exchange of India Ltd registered 22.3 million trades as against 0.08 million during July 2019. </w:t>
      </w:r>
    </w:p>
    <w:p w:rsidR="002240ED" w:rsidRPr="002240ED" w:rsidRDefault="002240ED" w:rsidP="002240ED">
      <w:pPr>
        <w:pStyle w:val="CM14"/>
        <w:numPr>
          <w:ilvl w:val="0"/>
          <w:numId w:val="30"/>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 xml:space="preserve">Amongst exchanges in the Europe - Africa - Middle East, Moscow Exchange recorded 16.5 million contracts while Borsa Istanbul recorded trading of 13.8 million contracts. </w:t>
      </w:r>
    </w:p>
    <w:p w:rsidR="002240ED" w:rsidRPr="00842D76" w:rsidRDefault="002240ED" w:rsidP="002240ED">
      <w:pPr>
        <w:jc w:val="both"/>
        <w:rPr>
          <w:rFonts w:ascii="Garamond" w:hAnsi="Garamond"/>
          <w:b/>
          <w:color w:val="0070C0"/>
        </w:rPr>
      </w:pPr>
    </w:p>
    <w:p w:rsidR="002240ED" w:rsidRPr="008618A0" w:rsidRDefault="002240ED" w:rsidP="002240ED">
      <w:pPr>
        <w:jc w:val="both"/>
        <w:outlineLvl w:val="0"/>
        <w:rPr>
          <w:rFonts w:ascii="Garamond" w:hAnsi="Garamond"/>
          <w:b/>
        </w:rPr>
      </w:pPr>
      <w:r w:rsidRPr="008618A0">
        <w:rPr>
          <w:rFonts w:ascii="Garamond" w:hAnsi="Garamond"/>
          <w:b/>
        </w:rPr>
        <w:t>Single Stock Options:</w:t>
      </w:r>
    </w:p>
    <w:p w:rsidR="002240ED" w:rsidRPr="008618A0" w:rsidRDefault="002240ED" w:rsidP="002240ED">
      <w:pPr>
        <w:jc w:val="both"/>
        <w:outlineLvl w:val="0"/>
        <w:rPr>
          <w:rFonts w:ascii="Garamond" w:hAnsi="Garamond"/>
          <w:b/>
        </w:rPr>
      </w:pPr>
    </w:p>
    <w:p w:rsidR="002240ED" w:rsidRPr="002240ED" w:rsidRDefault="002240ED" w:rsidP="002240ED">
      <w:pPr>
        <w:pStyle w:val="ListParagraph"/>
        <w:numPr>
          <w:ilvl w:val="0"/>
          <w:numId w:val="30"/>
        </w:numPr>
        <w:spacing w:after="0" w:line="240" w:lineRule="auto"/>
        <w:ind w:left="360"/>
        <w:jc w:val="both"/>
        <w:rPr>
          <w:rFonts w:ascii="Palatino Linotype" w:hAnsi="Palatino Linotype"/>
          <w:sz w:val="22"/>
          <w:szCs w:val="22"/>
        </w:rPr>
      </w:pPr>
      <w:r w:rsidRPr="002240ED">
        <w:rPr>
          <w:rFonts w:ascii="Palatino Linotype" w:hAnsi="Palatino Linotype"/>
          <w:sz w:val="22"/>
          <w:szCs w:val="22"/>
        </w:rPr>
        <w:t xml:space="preserve">Amongst exchanges in the Americas, B3 - Brasil Bolsa Balcão recorded 84.7 million contracts and Chicago Board Options Exchange recorded 71.9 million during August 2019, which is 36.9 per cent and 16.18 per cent increase respectively, over the past month.   </w:t>
      </w:r>
    </w:p>
    <w:p w:rsidR="002240ED" w:rsidRPr="002240ED" w:rsidRDefault="002240ED" w:rsidP="002240ED">
      <w:pPr>
        <w:pStyle w:val="CM14"/>
        <w:numPr>
          <w:ilvl w:val="0"/>
          <w:numId w:val="30"/>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 xml:space="preserve">Amongst exchanges in the Europe - Africa - Middle East, Tehran Stock Exchange recorded trading of 0.3 million contracts and Tehran Stock Exchange 0.2 million contracts, which is a decline of 22.2 per cent and 99.7 percent, respectively over July 2019. </w:t>
      </w:r>
    </w:p>
    <w:p w:rsidR="002240ED" w:rsidRPr="002240ED" w:rsidRDefault="002240ED" w:rsidP="002240ED">
      <w:pPr>
        <w:pStyle w:val="CM14"/>
        <w:numPr>
          <w:ilvl w:val="0"/>
          <w:numId w:val="30"/>
        </w:numPr>
        <w:spacing w:after="0"/>
        <w:ind w:left="360"/>
        <w:jc w:val="both"/>
        <w:rPr>
          <w:rFonts w:ascii="Palatino Linotype" w:hAnsi="Palatino Linotype"/>
          <w:color w:val="0070C0"/>
          <w:sz w:val="22"/>
          <w:szCs w:val="22"/>
          <w:lang w:val="en-GB"/>
        </w:rPr>
      </w:pPr>
      <w:r w:rsidRPr="002240ED">
        <w:rPr>
          <w:rFonts w:ascii="Palatino Linotype" w:hAnsi="Palatino Linotype"/>
          <w:sz w:val="22"/>
          <w:szCs w:val="22"/>
          <w:lang w:val="en-GB"/>
        </w:rPr>
        <w:t xml:space="preserve">Amongst exchanges in the Asia Pacific, the National Stock Exchange of India recorded trading </w:t>
      </w:r>
      <w:r w:rsidRPr="002240ED">
        <w:rPr>
          <w:rFonts w:ascii="Palatino Linotype" w:hAnsi="Palatino Linotype"/>
          <w:sz w:val="22"/>
          <w:szCs w:val="22"/>
          <w:lang w:val="en-GB"/>
        </w:rPr>
        <w:lastRenderedPageBreak/>
        <w:t>of 17.9 million contracts and Hong Kong Exchanges and Clearing 10.1 contracts, an increase of 23.3 per cent and 40.3 per cent respectively.</w:t>
      </w:r>
      <w:r w:rsidRPr="002240ED">
        <w:rPr>
          <w:rFonts w:ascii="Palatino Linotype" w:hAnsi="Palatino Linotype"/>
          <w:color w:val="0070C0"/>
          <w:sz w:val="22"/>
          <w:szCs w:val="22"/>
          <w:lang w:val="en-GB"/>
        </w:rPr>
        <w:t xml:space="preserve">  </w:t>
      </w:r>
    </w:p>
    <w:p w:rsidR="002240ED" w:rsidRPr="00842D76" w:rsidRDefault="002240ED" w:rsidP="002240ED">
      <w:pPr>
        <w:rPr>
          <w:rFonts w:ascii="Garamond" w:hAnsi="Garamond"/>
          <w:b/>
          <w:color w:val="0070C0"/>
        </w:rPr>
      </w:pPr>
    </w:p>
    <w:p w:rsidR="002240ED" w:rsidRPr="00963A5B" w:rsidRDefault="002240ED" w:rsidP="002240ED">
      <w:pPr>
        <w:jc w:val="both"/>
        <w:outlineLvl w:val="0"/>
        <w:rPr>
          <w:rFonts w:ascii="Garamond" w:hAnsi="Garamond"/>
          <w:b/>
        </w:rPr>
      </w:pPr>
      <w:r w:rsidRPr="00963A5B">
        <w:rPr>
          <w:rFonts w:ascii="Garamond" w:hAnsi="Garamond"/>
          <w:b/>
        </w:rPr>
        <w:t>Index Futures:</w:t>
      </w:r>
    </w:p>
    <w:p w:rsidR="002240ED" w:rsidRPr="00963A5B" w:rsidRDefault="002240ED" w:rsidP="002240ED">
      <w:pPr>
        <w:jc w:val="both"/>
        <w:outlineLvl w:val="0"/>
        <w:rPr>
          <w:rFonts w:ascii="Garamond" w:hAnsi="Garamond"/>
          <w:b/>
        </w:rPr>
      </w:pPr>
    </w:p>
    <w:p w:rsidR="002240ED" w:rsidRPr="002240ED" w:rsidRDefault="002240ED" w:rsidP="002240ED">
      <w:pPr>
        <w:pStyle w:val="CM14"/>
        <w:numPr>
          <w:ilvl w:val="0"/>
          <w:numId w:val="30"/>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 xml:space="preserve">Amongst exchanges in the Americas, B3 - Brasil Bolsa Balcão recorded trades in 176.5 million during August 2019.  CME Group recorded a 71.4 per cent increase in August 2019, with 88.5 million trades. </w:t>
      </w:r>
    </w:p>
    <w:p w:rsidR="002240ED" w:rsidRPr="002240ED" w:rsidRDefault="002240ED" w:rsidP="002240ED">
      <w:pPr>
        <w:pStyle w:val="CM14"/>
        <w:numPr>
          <w:ilvl w:val="0"/>
          <w:numId w:val="30"/>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Amongst exchanges in the Europe - Africa - Middle East, Moscow Exchange recorded trading of 10.9 million contracts and Borsa Istanbul (5.4 million contracts).  The exchanges recorded 41.7 per cent and 10.6 per cent increase over the last month.</w:t>
      </w:r>
    </w:p>
    <w:p w:rsidR="002240ED" w:rsidRPr="002240ED" w:rsidRDefault="002240ED" w:rsidP="002240ED">
      <w:pPr>
        <w:pStyle w:val="CM14"/>
        <w:numPr>
          <w:ilvl w:val="0"/>
          <w:numId w:val="30"/>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 xml:space="preserve">Amongst exchanges in the Asia Pacific, Japan Exchange Group recorded trading of 32.6 million contracts and Singapore Exchange (16.7 million contracts), which is an increase of 64.5 per cent and 24.2 per cent increase respectively.  </w:t>
      </w:r>
    </w:p>
    <w:p w:rsidR="002240ED" w:rsidRPr="002240ED" w:rsidRDefault="002240ED" w:rsidP="002240ED">
      <w:pPr>
        <w:pStyle w:val="CM14"/>
        <w:spacing w:after="0"/>
        <w:jc w:val="both"/>
        <w:rPr>
          <w:rFonts w:ascii="Palatino Linotype" w:hAnsi="Palatino Linotype" w:cs="Arial Unicode MS"/>
          <w:color w:val="0070C0"/>
          <w:sz w:val="22"/>
          <w:szCs w:val="22"/>
          <w:lang w:val="en-GB" w:bidi="bn-IN"/>
        </w:rPr>
      </w:pPr>
    </w:p>
    <w:p w:rsidR="002240ED" w:rsidRPr="00AE110A" w:rsidRDefault="002240ED" w:rsidP="002240ED">
      <w:pPr>
        <w:rPr>
          <w:rFonts w:ascii="Garamond" w:hAnsi="Garamond"/>
          <w:b/>
        </w:rPr>
      </w:pPr>
      <w:r w:rsidRPr="00AE110A">
        <w:rPr>
          <w:rFonts w:ascii="Garamond" w:hAnsi="Garamond"/>
          <w:b/>
        </w:rPr>
        <w:t>Index Options:</w:t>
      </w:r>
    </w:p>
    <w:p w:rsidR="002240ED" w:rsidRPr="002240ED" w:rsidRDefault="002240ED" w:rsidP="002240ED">
      <w:pPr>
        <w:pStyle w:val="CM14"/>
        <w:numPr>
          <w:ilvl w:val="0"/>
          <w:numId w:val="30"/>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 xml:space="preserve">Amongst exchanges in the Americas, Chicago Board Options Exchange recorded trading of 50.1 million contracts and CME Group (20.7 million contracts) during August 2019, with 28.9 per cent and 86.5 per cent increase over July 2019, respectively.  </w:t>
      </w:r>
    </w:p>
    <w:p w:rsidR="002240ED" w:rsidRPr="002240ED" w:rsidRDefault="002240ED" w:rsidP="002240ED">
      <w:pPr>
        <w:pStyle w:val="CM14"/>
        <w:numPr>
          <w:ilvl w:val="0"/>
          <w:numId w:val="30"/>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Amongst exchanges in the Europe - Africa - Middle East, Tel-Aviv Stock Exchange recorded trading of 2.6 million contracts and Moscow Exchange (2.2 million contracts).  Trading in both the exchanges increased by 21.7 per cent and 65.1 per cent during August 2019.</w:t>
      </w:r>
    </w:p>
    <w:p w:rsidR="002240ED" w:rsidRPr="002240ED" w:rsidRDefault="002240ED" w:rsidP="002240ED">
      <w:pPr>
        <w:pStyle w:val="CM14"/>
        <w:numPr>
          <w:ilvl w:val="0"/>
          <w:numId w:val="30"/>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Amongst exchanges in the Asia Pacific, National Stock Exchange of India recorded trading of 427.7 million contracts and Korea Exchange (58.8 million contracts).  Number of contracts traded in NSE during August 2019 increased by 15.6 per cent while it decreased for Korea Exchange by 4.2 per cent.</w:t>
      </w:r>
    </w:p>
    <w:p w:rsidR="002240ED" w:rsidRPr="002240ED" w:rsidRDefault="002240ED" w:rsidP="002240ED">
      <w:pPr>
        <w:jc w:val="both"/>
        <w:rPr>
          <w:rFonts w:ascii="Palatino Linotype" w:hAnsi="Palatino Linotype"/>
          <w:b/>
          <w:color w:val="0070C0"/>
          <w:sz w:val="22"/>
          <w:szCs w:val="22"/>
        </w:rPr>
      </w:pPr>
    </w:p>
    <w:p w:rsidR="002240ED" w:rsidRPr="002240ED" w:rsidRDefault="002240ED" w:rsidP="002240ED">
      <w:pPr>
        <w:jc w:val="both"/>
        <w:outlineLvl w:val="0"/>
        <w:rPr>
          <w:rFonts w:ascii="Palatino Linotype" w:hAnsi="Palatino Linotype"/>
          <w:b/>
          <w:sz w:val="22"/>
          <w:szCs w:val="22"/>
        </w:rPr>
      </w:pPr>
      <w:r w:rsidRPr="002240ED">
        <w:rPr>
          <w:rFonts w:ascii="Palatino Linotype" w:hAnsi="Palatino Linotype"/>
          <w:b/>
          <w:sz w:val="22"/>
          <w:szCs w:val="22"/>
        </w:rPr>
        <w:t>Currency Derivatives:</w:t>
      </w:r>
    </w:p>
    <w:p w:rsidR="002240ED" w:rsidRPr="002240ED" w:rsidRDefault="002240ED" w:rsidP="002240ED">
      <w:pPr>
        <w:jc w:val="both"/>
        <w:rPr>
          <w:rFonts w:ascii="Palatino Linotype" w:hAnsi="Palatino Linotype"/>
          <w:sz w:val="22"/>
          <w:szCs w:val="22"/>
        </w:rPr>
      </w:pPr>
    </w:p>
    <w:p w:rsidR="002240ED" w:rsidRPr="002240ED" w:rsidRDefault="002240ED" w:rsidP="002240ED">
      <w:pPr>
        <w:jc w:val="both"/>
        <w:rPr>
          <w:rFonts w:ascii="Palatino Linotype" w:hAnsi="Palatino Linotype"/>
          <w:sz w:val="22"/>
          <w:szCs w:val="22"/>
        </w:rPr>
      </w:pPr>
      <w:r w:rsidRPr="002240ED">
        <w:rPr>
          <w:rFonts w:ascii="Palatino Linotype" w:hAnsi="Palatino Linotype"/>
          <w:sz w:val="22"/>
          <w:szCs w:val="22"/>
        </w:rPr>
        <w:t>As per the latest data available from the World Federation of Exchanges, during August 2019, exchanges across the world showed the following trend in trading of currency derivatives (Table A7):</w:t>
      </w:r>
    </w:p>
    <w:p w:rsidR="002240ED" w:rsidRPr="002240ED" w:rsidRDefault="002240ED" w:rsidP="002240ED">
      <w:pPr>
        <w:jc w:val="both"/>
        <w:rPr>
          <w:rFonts w:ascii="Palatino Linotype" w:hAnsi="Palatino Linotype"/>
          <w:b/>
          <w:sz w:val="22"/>
          <w:szCs w:val="22"/>
        </w:rPr>
      </w:pPr>
    </w:p>
    <w:p w:rsidR="002240ED" w:rsidRPr="002240ED" w:rsidRDefault="002240ED" w:rsidP="002240ED">
      <w:pPr>
        <w:jc w:val="both"/>
        <w:outlineLvl w:val="0"/>
        <w:rPr>
          <w:rFonts w:ascii="Palatino Linotype" w:hAnsi="Palatino Linotype"/>
          <w:b/>
          <w:sz w:val="22"/>
          <w:szCs w:val="22"/>
        </w:rPr>
      </w:pPr>
      <w:r w:rsidRPr="002240ED">
        <w:rPr>
          <w:rFonts w:ascii="Palatino Linotype" w:hAnsi="Palatino Linotype"/>
          <w:b/>
          <w:sz w:val="22"/>
          <w:szCs w:val="22"/>
        </w:rPr>
        <w:t>Currency Futures:</w:t>
      </w:r>
    </w:p>
    <w:p w:rsidR="002240ED" w:rsidRPr="002240ED" w:rsidRDefault="002240ED" w:rsidP="002240ED">
      <w:pPr>
        <w:jc w:val="both"/>
        <w:outlineLvl w:val="0"/>
        <w:rPr>
          <w:rFonts w:ascii="Palatino Linotype" w:hAnsi="Palatino Linotype"/>
          <w:b/>
          <w:sz w:val="22"/>
          <w:szCs w:val="22"/>
        </w:rPr>
      </w:pPr>
    </w:p>
    <w:p w:rsidR="002240ED" w:rsidRPr="002240ED" w:rsidRDefault="002240ED" w:rsidP="002240ED">
      <w:pPr>
        <w:pStyle w:val="CM14"/>
        <w:numPr>
          <w:ilvl w:val="0"/>
          <w:numId w:val="30"/>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Amongst exchanges in the Americas, B3 - Brasil Bolsa Balcão recorded trading of 48.5 million contracts and CME Group (16.9 million contracts).  Both the exchanges recorded an increase of 41.9 per cent and 19.5 per cent respectively over July 2019.</w:t>
      </w:r>
    </w:p>
    <w:p w:rsidR="002240ED" w:rsidRPr="002240ED" w:rsidRDefault="002240ED" w:rsidP="002240ED">
      <w:pPr>
        <w:pStyle w:val="CM14"/>
        <w:numPr>
          <w:ilvl w:val="0"/>
          <w:numId w:val="30"/>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Amongst exchanges in the Europe - Africa - Middle East, Moscow Exchange recorded trading of 51.5 million contracts and Borsa Istanbul (5.1 million contracts) with 53 per cent and 2.6 per cent growth over July 2019.</w:t>
      </w:r>
    </w:p>
    <w:p w:rsidR="002240ED" w:rsidRPr="002240ED" w:rsidRDefault="002240ED" w:rsidP="002240ED">
      <w:pPr>
        <w:pStyle w:val="CM14"/>
        <w:numPr>
          <w:ilvl w:val="0"/>
          <w:numId w:val="31"/>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 xml:space="preserve">Amongst exchanges in the Asia Pacific, National Stock Exchange of India recorded trading of 67.2 million contracts and </w:t>
      </w:r>
      <w:r w:rsidR="003C2E80">
        <w:rPr>
          <w:rFonts w:ascii="Palatino Linotype" w:hAnsi="Palatino Linotype"/>
          <w:sz w:val="22"/>
          <w:szCs w:val="22"/>
          <w:lang w:val="en-GB"/>
        </w:rPr>
        <w:t>BSE India Ltd</w:t>
      </w:r>
      <w:r w:rsidR="007A5542">
        <w:rPr>
          <w:rFonts w:ascii="Palatino Linotype" w:hAnsi="Palatino Linotype"/>
          <w:sz w:val="22"/>
          <w:szCs w:val="22"/>
          <w:lang w:val="en-GB"/>
        </w:rPr>
        <w:t>.</w:t>
      </w:r>
      <w:r w:rsidR="003C2E80">
        <w:rPr>
          <w:rFonts w:ascii="Palatino Linotype" w:hAnsi="Palatino Linotype"/>
          <w:sz w:val="22"/>
          <w:szCs w:val="22"/>
          <w:lang w:val="en-GB"/>
        </w:rPr>
        <w:t xml:space="preserve"> </w:t>
      </w:r>
      <w:r w:rsidRPr="002240ED">
        <w:rPr>
          <w:rFonts w:ascii="Palatino Linotype" w:hAnsi="Palatino Linotype"/>
          <w:sz w:val="22"/>
          <w:szCs w:val="22"/>
          <w:lang w:val="en-GB"/>
        </w:rPr>
        <w:t>(</w:t>
      </w:r>
      <w:r w:rsidR="003C2E80">
        <w:rPr>
          <w:rFonts w:ascii="Palatino Linotype" w:hAnsi="Palatino Linotype"/>
          <w:sz w:val="22"/>
          <w:szCs w:val="22"/>
          <w:lang w:val="en-GB"/>
        </w:rPr>
        <w:t>36.5</w:t>
      </w:r>
      <w:r w:rsidRPr="002240ED">
        <w:rPr>
          <w:rFonts w:ascii="Palatino Linotype" w:hAnsi="Palatino Linotype"/>
          <w:sz w:val="22"/>
          <w:szCs w:val="22"/>
          <w:lang w:val="en-GB"/>
        </w:rPr>
        <w:t xml:space="preserve"> million contracts) with 49.9 per cent and</w:t>
      </w:r>
      <w:r w:rsidR="003C2E80">
        <w:rPr>
          <w:rFonts w:ascii="Palatino Linotype" w:hAnsi="Palatino Linotype"/>
          <w:sz w:val="22"/>
          <w:szCs w:val="22"/>
          <w:lang w:val="en-GB"/>
        </w:rPr>
        <w:t xml:space="preserve"> 21.1</w:t>
      </w:r>
      <w:r w:rsidRPr="002240ED">
        <w:rPr>
          <w:rFonts w:ascii="Palatino Linotype" w:hAnsi="Palatino Linotype"/>
          <w:sz w:val="22"/>
          <w:szCs w:val="22"/>
          <w:lang w:val="en-GB"/>
        </w:rPr>
        <w:t xml:space="preserve"> per cent growth respectively over July 2019.</w:t>
      </w:r>
    </w:p>
    <w:p w:rsidR="002240ED" w:rsidRPr="00842D76" w:rsidRDefault="002240ED" w:rsidP="002240ED">
      <w:pPr>
        <w:pStyle w:val="CM14"/>
        <w:spacing w:after="0"/>
        <w:jc w:val="both"/>
        <w:rPr>
          <w:rFonts w:ascii="Garamond" w:hAnsi="Garamond"/>
          <w:color w:val="0070C0"/>
          <w:lang w:val="en-GB"/>
        </w:rPr>
      </w:pPr>
    </w:p>
    <w:p w:rsidR="002240ED" w:rsidRDefault="002240ED" w:rsidP="002240ED">
      <w:pPr>
        <w:rPr>
          <w:rFonts w:ascii="Garamond" w:hAnsi="Garamond"/>
          <w:b/>
        </w:rPr>
      </w:pPr>
      <w:r>
        <w:rPr>
          <w:rFonts w:ascii="Garamond" w:hAnsi="Garamond"/>
          <w:b/>
        </w:rPr>
        <w:br w:type="page"/>
      </w:r>
    </w:p>
    <w:p w:rsidR="002240ED" w:rsidRPr="002240ED" w:rsidRDefault="002240ED" w:rsidP="002240ED">
      <w:pPr>
        <w:jc w:val="both"/>
        <w:outlineLvl w:val="0"/>
        <w:rPr>
          <w:rFonts w:ascii="Palatino Linotype" w:hAnsi="Palatino Linotype"/>
          <w:b/>
          <w:sz w:val="22"/>
          <w:szCs w:val="22"/>
        </w:rPr>
      </w:pPr>
      <w:r w:rsidRPr="002240ED">
        <w:rPr>
          <w:rFonts w:ascii="Palatino Linotype" w:hAnsi="Palatino Linotype"/>
          <w:b/>
          <w:sz w:val="22"/>
          <w:szCs w:val="22"/>
        </w:rPr>
        <w:lastRenderedPageBreak/>
        <w:t>Currency Options:</w:t>
      </w:r>
    </w:p>
    <w:p w:rsidR="002240ED" w:rsidRPr="002240ED" w:rsidRDefault="002240ED" w:rsidP="002240ED">
      <w:pPr>
        <w:jc w:val="both"/>
        <w:outlineLvl w:val="0"/>
        <w:rPr>
          <w:rFonts w:ascii="Palatino Linotype" w:hAnsi="Palatino Linotype"/>
          <w:b/>
          <w:sz w:val="22"/>
          <w:szCs w:val="22"/>
        </w:rPr>
      </w:pPr>
    </w:p>
    <w:p w:rsidR="002240ED" w:rsidRPr="002240ED" w:rsidRDefault="002240ED" w:rsidP="002240ED">
      <w:pPr>
        <w:pStyle w:val="CM14"/>
        <w:numPr>
          <w:ilvl w:val="0"/>
          <w:numId w:val="30"/>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 xml:space="preserve">Amongst exchanges in the Americas, CME Group recorded trading of 1.2 million contracts and B3 - Brasil Bolsa Balcão (0.9 million contracts).  This recorded 15.6 per cent and 30.6 per cent growth respectively. </w:t>
      </w:r>
    </w:p>
    <w:p w:rsidR="002240ED" w:rsidRPr="002240ED" w:rsidRDefault="002240ED" w:rsidP="002240ED">
      <w:pPr>
        <w:pStyle w:val="CM14"/>
        <w:numPr>
          <w:ilvl w:val="0"/>
          <w:numId w:val="30"/>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 xml:space="preserve">Amongst exchanges in the Europe - Africa - Middle East, Moscow Exchange recorded trading of 2.5 million contracts and Tel-Aviv Stock Exchange (1.2 million contracts), with 72.4 per cent and 75.3 per cent growth over July 2019. </w:t>
      </w:r>
    </w:p>
    <w:p w:rsidR="00563C6B" w:rsidRPr="002240ED" w:rsidRDefault="00563C6B" w:rsidP="00563C6B">
      <w:pPr>
        <w:pStyle w:val="CM14"/>
        <w:numPr>
          <w:ilvl w:val="0"/>
          <w:numId w:val="30"/>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 xml:space="preserve">Amongst exchanges in the Asia Pacific, The National Stock Exchange recorded trading of </w:t>
      </w:r>
      <w:r>
        <w:rPr>
          <w:rFonts w:ascii="Palatino Linotype" w:hAnsi="Palatino Linotype"/>
          <w:sz w:val="22"/>
          <w:szCs w:val="22"/>
          <w:lang w:val="en-GB"/>
        </w:rPr>
        <w:t>76.3</w:t>
      </w:r>
      <w:r w:rsidRPr="002240ED">
        <w:rPr>
          <w:rFonts w:ascii="Palatino Linotype" w:hAnsi="Palatino Linotype"/>
          <w:sz w:val="22"/>
          <w:szCs w:val="22"/>
          <w:lang w:val="en-GB"/>
        </w:rPr>
        <w:t xml:space="preserve"> million </w:t>
      </w:r>
      <w:r>
        <w:rPr>
          <w:rFonts w:ascii="Palatino Linotype" w:hAnsi="Palatino Linotype"/>
          <w:sz w:val="22"/>
          <w:szCs w:val="22"/>
          <w:lang w:val="en-GB"/>
        </w:rPr>
        <w:t xml:space="preserve">contracts which increased by 63.8 per cent and BSE India Ltd recorded 51.7 million </w:t>
      </w:r>
      <w:r w:rsidRPr="002240ED">
        <w:rPr>
          <w:rFonts w:ascii="Palatino Linotype" w:hAnsi="Palatino Linotype"/>
          <w:sz w:val="22"/>
          <w:szCs w:val="22"/>
          <w:lang w:val="en-GB"/>
        </w:rPr>
        <w:t xml:space="preserve">contracts </w:t>
      </w:r>
      <w:r>
        <w:rPr>
          <w:rFonts w:ascii="Palatino Linotype" w:hAnsi="Palatino Linotype"/>
          <w:sz w:val="22"/>
          <w:szCs w:val="22"/>
          <w:lang w:val="en-GB"/>
        </w:rPr>
        <w:t xml:space="preserve">which declined by 15.2 per cent during August 2019, </w:t>
      </w:r>
      <w:r w:rsidRPr="002240ED">
        <w:rPr>
          <w:rFonts w:ascii="Palatino Linotype" w:hAnsi="Palatino Linotype"/>
          <w:sz w:val="22"/>
          <w:szCs w:val="22"/>
          <w:lang w:val="en-GB"/>
        </w:rPr>
        <w:t>over July 2019.</w:t>
      </w:r>
    </w:p>
    <w:p w:rsidR="002240ED" w:rsidRPr="002240ED" w:rsidRDefault="002240ED" w:rsidP="002240ED">
      <w:pPr>
        <w:jc w:val="both"/>
        <w:outlineLvl w:val="0"/>
        <w:rPr>
          <w:rFonts w:ascii="Palatino Linotype" w:hAnsi="Palatino Linotype"/>
          <w:b/>
          <w:color w:val="0070C0"/>
          <w:sz w:val="22"/>
          <w:szCs w:val="22"/>
        </w:rPr>
      </w:pPr>
    </w:p>
    <w:p w:rsidR="002240ED" w:rsidRPr="002240ED" w:rsidRDefault="002240ED" w:rsidP="002240ED">
      <w:pPr>
        <w:jc w:val="both"/>
        <w:outlineLvl w:val="0"/>
        <w:rPr>
          <w:rFonts w:ascii="Palatino Linotype" w:hAnsi="Palatino Linotype"/>
          <w:b/>
          <w:sz w:val="22"/>
          <w:szCs w:val="22"/>
        </w:rPr>
      </w:pPr>
      <w:r w:rsidRPr="002240ED">
        <w:rPr>
          <w:rFonts w:ascii="Palatino Linotype" w:hAnsi="Palatino Linotype"/>
          <w:b/>
          <w:sz w:val="22"/>
          <w:szCs w:val="22"/>
        </w:rPr>
        <w:t>Interest Rate Derivatives:</w:t>
      </w:r>
    </w:p>
    <w:p w:rsidR="002240ED" w:rsidRPr="002240ED" w:rsidRDefault="002240ED" w:rsidP="002240ED">
      <w:pPr>
        <w:jc w:val="both"/>
        <w:rPr>
          <w:rFonts w:ascii="Palatino Linotype" w:hAnsi="Palatino Linotype"/>
          <w:b/>
          <w:sz w:val="22"/>
          <w:szCs w:val="22"/>
        </w:rPr>
      </w:pPr>
    </w:p>
    <w:p w:rsidR="002240ED" w:rsidRPr="002240ED" w:rsidRDefault="002240ED" w:rsidP="002240ED">
      <w:pPr>
        <w:jc w:val="both"/>
        <w:rPr>
          <w:rFonts w:ascii="Palatino Linotype" w:hAnsi="Palatino Linotype"/>
          <w:sz w:val="22"/>
          <w:szCs w:val="22"/>
        </w:rPr>
      </w:pPr>
      <w:r w:rsidRPr="002240ED">
        <w:rPr>
          <w:rFonts w:ascii="Palatino Linotype" w:hAnsi="Palatino Linotype"/>
          <w:sz w:val="22"/>
          <w:szCs w:val="22"/>
        </w:rPr>
        <w:t>As per the latest data available from the World Federation of Exchanges, during August 2019, exchanges across the world showed the following trend in trading of interest rate derivatives (Table A8):</w:t>
      </w:r>
    </w:p>
    <w:p w:rsidR="002240ED" w:rsidRPr="002240ED" w:rsidRDefault="002240ED" w:rsidP="002240ED">
      <w:pPr>
        <w:jc w:val="both"/>
        <w:rPr>
          <w:rFonts w:ascii="Palatino Linotype" w:hAnsi="Palatino Linotype"/>
          <w:sz w:val="22"/>
          <w:szCs w:val="22"/>
        </w:rPr>
      </w:pPr>
    </w:p>
    <w:p w:rsidR="002240ED" w:rsidRPr="002240ED" w:rsidRDefault="002240ED" w:rsidP="002240ED">
      <w:pPr>
        <w:jc w:val="both"/>
        <w:outlineLvl w:val="0"/>
        <w:rPr>
          <w:rFonts w:ascii="Palatino Linotype" w:hAnsi="Palatino Linotype"/>
          <w:b/>
          <w:sz w:val="22"/>
          <w:szCs w:val="22"/>
        </w:rPr>
      </w:pPr>
      <w:r w:rsidRPr="002240ED">
        <w:rPr>
          <w:rFonts w:ascii="Palatino Linotype" w:hAnsi="Palatino Linotype"/>
          <w:b/>
          <w:sz w:val="22"/>
          <w:szCs w:val="22"/>
        </w:rPr>
        <w:t>Interest Rate Futures:</w:t>
      </w:r>
    </w:p>
    <w:p w:rsidR="002240ED" w:rsidRPr="002240ED" w:rsidRDefault="002240ED" w:rsidP="002240ED">
      <w:pPr>
        <w:pStyle w:val="CM14"/>
        <w:numPr>
          <w:ilvl w:val="0"/>
          <w:numId w:val="31"/>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 xml:space="preserve">Among exchanges in the Americas, CME Group recorded trading of 234.8 million contracts, and B3 - Brasil Bolsa Balcão (51.3 million contracts), with 68.4 per cent and 22.6 per cent increase in number of contracts traded over July 2019.  </w:t>
      </w:r>
    </w:p>
    <w:p w:rsidR="002240ED" w:rsidRPr="002240ED" w:rsidRDefault="002240ED" w:rsidP="002240ED">
      <w:pPr>
        <w:pStyle w:val="CM14"/>
        <w:numPr>
          <w:ilvl w:val="0"/>
          <w:numId w:val="31"/>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Among exchanges in the Asia Pacific, Australian Securities Exchange recorded trading of 11.6 million contracts and Korea Exchange (4.1 million contracts), with 15.3 per cent and 25.5 per cent increase over July 2019.</w:t>
      </w:r>
    </w:p>
    <w:p w:rsidR="007E42E3" w:rsidRPr="002240ED" w:rsidRDefault="007E42E3" w:rsidP="007E42E3">
      <w:pPr>
        <w:pStyle w:val="CM14"/>
        <w:numPr>
          <w:ilvl w:val="0"/>
          <w:numId w:val="31"/>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 xml:space="preserve">The National Stock Exchange </w:t>
      </w:r>
      <w:r>
        <w:rPr>
          <w:rFonts w:ascii="Palatino Linotype" w:hAnsi="Palatino Linotype"/>
          <w:sz w:val="22"/>
          <w:szCs w:val="22"/>
          <w:lang w:val="en-GB"/>
        </w:rPr>
        <w:t xml:space="preserve">and BSE India Ltd </w:t>
      </w:r>
      <w:r w:rsidRPr="002240ED">
        <w:rPr>
          <w:rFonts w:ascii="Palatino Linotype" w:hAnsi="Palatino Linotype"/>
          <w:sz w:val="22"/>
          <w:szCs w:val="22"/>
          <w:lang w:val="en-GB"/>
        </w:rPr>
        <w:t xml:space="preserve">recorded trading of 1.5 million </w:t>
      </w:r>
      <w:r>
        <w:rPr>
          <w:rFonts w:ascii="Palatino Linotype" w:hAnsi="Palatino Linotype"/>
          <w:sz w:val="22"/>
          <w:szCs w:val="22"/>
          <w:lang w:val="en-GB"/>
        </w:rPr>
        <w:t xml:space="preserve">and 0.5 million </w:t>
      </w:r>
      <w:r w:rsidRPr="002240ED">
        <w:rPr>
          <w:rFonts w:ascii="Palatino Linotype" w:hAnsi="Palatino Linotype"/>
          <w:sz w:val="22"/>
          <w:szCs w:val="22"/>
          <w:lang w:val="en-GB"/>
        </w:rPr>
        <w:t xml:space="preserve">contracts </w:t>
      </w:r>
      <w:r>
        <w:rPr>
          <w:rFonts w:ascii="Palatino Linotype" w:hAnsi="Palatino Linotype"/>
          <w:sz w:val="22"/>
          <w:szCs w:val="22"/>
          <w:lang w:val="en-GB"/>
        </w:rPr>
        <w:t xml:space="preserve">during August 2019, </w:t>
      </w:r>
      <w:r w:rsidRPr="002240ED">
        <w:rPr>
          <w:rFonts w:ascii="Palatino Linotype" w:hAnsi="Palatino Linotype"/>
          <w:sz w:val="22"/>
          <w:szCs w:val="22"/>
          <w:lang w:val="en-GB"/>
        </w:rPr>
        <w:t xml:space="preserve">which decreased by 29.6 per cent </w:t>
      </w:r>
      <w:r>
        <w:rPr>
          <w:rFonts w:ascii="Palatino Linotype" w:hAnsi="Palatino Linotype"/>
          <w:sz w:val="22"/>
          <w:szCs w:val="22"/>
          <w:lang w:val="en-GB"/>
        </w:rPr>
        <w:t xml:space="preserve">and 26.2 per cent, respectively, </w:t>
      </w:r>
      <w:r w:rsidRPr="002240ED">
        <w:rPr>
          <w:rFonts w:ascii="Palatino Linotype" w:hAnsi="Palatino Linotype"/>
          <w:sz w:val="22"/>
          <w:szCs w:val="22"/>
          <w:lang w:val="en-GB"/>
        </w:rPr>
        <w:t>over July 2019.</w:t>
      </w:r>
    </w:p>
    <w:p w:rsidR="002240ED" w:rsidRPr="002240ED" w:rsidRDefault="002240ED" w:rsidP="002240ED">
      <w:pPr>
        <w:jc w:val="both"/>
        <w:outlineLvl w:val="0"/>
        <w:rPr>
          <w:rFonts w:ascii="Palatino Linotype" w:hAnsi="Palatino Linotype"/>
          <w:b/>
          <w:sz w:val="22"/>
          <w:szCs w:val="22"/>
        </w:rPr>
      </w:pPr>
    </w:p>
    <w:p w:rsidR="002240ED" w:rsidRPr="002240ED" w:rsidRDefault="002240ED" w:rsidP="002240ED">
      <w:pPr>
        <w:jc w:val="both"/>
        <w:outlineLvl w:val="0"/>
        <w:rPr>
          <w:rFonts w:ascii="Palatino Linotype" w:hAnsi="Palatino Linotype"/>
          <w:b/>
          <w:sz w:val="22"/>
          <w:szCs w:val="22"/>
        </w:rPr>
      </w:pPr>
      <w:r w:rsidRPr="002240ED">
        <w:rPr>
          <w:rFonts w:ascii="Palatino Linotype" w:hAnsi="Palatino Linotype"/>
          <w:b/>
          <w:sz w:val="22"/>
          <w:szCs w:val="22"/>
        </w:rPr>
        <w:t>Interest Rate Options:</w:t>
      </w:r>
    </w:p>
    <w:p w:rsidR="002240ED" w:rsidRPr="002240ED" w:rsidRDefault="002240ED" w:rsidP="002240ED">
      <w:pPr>
        <w:pStyle w:val="CM14"/>
        <w:numPr>
          <w:ilvl w:val="0"/>
          <w:numId w:val="31"/>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Among exchanges in the Americas, CME Group recorded trading of 67.6 million contracts and B3 - Brasil Bolsa Balcão (0.4 million contracts); for CME Group the number of trades increased by 23.5 per cent and declined for B3 - Brasil Bolsa Balcão by 81.8 per cent in August 2019 over July 2019.</w:t>
      </w:r>
    </w:p>
    <w:p w:rsidR="002240ED" w:rsidRPr="002240ED" w:rsidRDefault="002240ED" w:rsidP="002240ED">
      <w:pPr>
        <w:pStyle w:val="CM14"/>
        <w:numPr>
          <w:ilvl w:val="0"/>
          <w:numId w:val="31"/>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Among exchanges in the Asia Pacific, Australian Securities Exchange recorded trading of 140 thousand contracts and Japan Exchange Group (64 thousands contracts), trading in number of contracts increased in both the exchanges, in Australian Securities Exchange by 141.4 per cent and in Japan Exchange Group by 69.8 per cent.</w:t>
      </w:r>
    </w:p>
    <w:p w:rsidR="002240ED" w:rsidRPr="002240ED" w:rsidRDefault="002240ED" w:rsidP="002240ED">
      <w:pPr>
        <w:jc w:val="both"/>
        <w:rPr>
          <w:rFonts w:ascii="Palatino Linotype" w:hAnsi="Palatino Linotype"/>
          <w:color w:val="0070C0"/>
          <w:sz w:val="22"/>
          <w:szCs w:val="22"/>
        </w:rPr>
      </w:pPr>
    </w:p>
    <w:p w:rsidR="002240ED" w:rsidRPr="002240ED" w:rsidRDefault="002240ED" w:rsidP="002240ED">
      <w:pPr>
        <w:rPr>
          <w:rFonts w:ascii="Palatino Linotype" w:hAnsi="Palatino Linotype"/>
          <w:b/>
          <w:sz w:val="22"/>
          <w:szCs w:val="22"/>
        </w:rPr>
      </w:pPr>
      <w:r w:rsidRPr="002240ED">
        <w:rPr>
          <w:rFonts w:ascii="Palatino Linotype" w:hAnsi="Palatino Linotype"/>
          <w:b/>
          <w:sz w:val="22"/>
          <w:szCs w:val="22"/>
        </w:rPr>
        <w:t>Commodity Derivatives:</w:t>
      </w:r>
    </w:p>
    <w:p w:rsidR="002240ED" w:rsidRPr="002240ED" w:rsidRDefault="002240ED" w:rsidP="002240ED">
      <w:pPr>
        <w:jc w:val="both"/>
        <w:rPr>
          <w:rFonts w:ascii="Palatino Linotype" w:hAnsi="Palatino Linotype"/>
          <w:sz w:val="22"/>
          <w:szCs w:val="22"/>
        </w:rPr>
      </w:pPr>
      <w:r w:rsidRPr="002240ED">
        <w:rPr>
          <w:rFonts w:ascii="Palatino Linotype" w:hAnsi="Palatino Linotype"/>
          <w:sz w:val="22"/>
          <w:szCs w:val="22"/>
        </w:rPr>
        <w:t>As per the latest data available from the World Federation of Exchanges, during August 2019, exchanges across the world showed the following trend in trading of commodity derivatives (Table A9):</w:t>
      </w:r>
    </w:p>
    <w:p w:rsidR="002240ED" w:rsidRPr="002240ED" w:rsidRDefault="002240ED" w:rsidP="002240ED">
      <w:pPr>
        <w:jc w:val="both"/>
        <w:rPr>
          <w:rFonts w:ascii="Palatino Linotype" w:hAnsi="Palatino Linotype"/>
          <w:sz w:val="22"/>
          <w:szCs w:val="22"/>
        </w:rPr>
      </w:pPr>
    </w:p>
    <w:p w:rsidR="002240ED" w:rsidRPr="002240ED" w:rsidRDefault="002240ED" w:rsidP="002240ED">
      <w:pPr>
        <w:jc w:val="both"/>
        <w:outlineLvl w:val="0"/>
        <w:rPr>
          <w:rFonts w:ascii="Palatino Linotype" w:hAnsi="Palatino Linotype"/>
          <w:b/>
          <w:sz w:val="22"/>
          <w:szCs w:val="22"/>
        </w:rPr>
      </w:pPr>
      <w:r w:rsidRPr="002240ED">
        <w:rPr>
          <w:rFonts w:ascii="Palatino Linotype" w:hAnsi="Palatino Linotype"/>
          <w:b/>
          <w:sz w:val="22"/>
          <w:szCs w:val="22"/>
        </w:rPr>
        <w:t>Commodity Futures:</w:t>
      </w:r>
    </w:p>
    <w:p w:rsidR="002240ED" w:rsidRPr="002240ED" w:rsidRDefault="002240ED" w:rsidP="002240ED">
      <w:pPr>
        <w:jc w:val="both"/>
        <w:outlineLvl w:val="0"/>
        <w:rPr>
          <w:rFonts w:ascii="Palatino Linotype" w:hAnsi="Palatino Linotype"/>
          <w:b/>
          <w:sz w:val="22"/>
          <w:szCs w:val="22"/>
        </w:rPr>
      </w:pPr>
    </w:p>
    <w:p w:rsidR="002240ED" w:rsidRPr="002240ED" w:rsidRDefault="002240ED" w:rsidP="002240ED">
      <w:pPr>
        <w:pStyle w:val="CM14"/>
        <w:numPr>
          <w:ilvl w:val="0"/>
          <w:numId w:val="31"/>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Among exchanges in the Americas, CME Group recorded trading of 91.6 million contracts and ICE Futures US (6.0 million contracts).  Trading of contracts in both the exchanges increased by 13.61 per cent and 20.67 per cent respectively over July 2019.</w:t>
      </w:r>
    </w:p>
    <w:p w:rsidR="002240ED" w:rsidRPr="002240ED" w:rsidRDefault="002240ED" w:rsidP="002240ED">
      <w:pPr>
        <w:pStyle w:val="CM14"/>
        <w:numPr>
          <w:ilvl w:val="0"/>
          <w:numId w:val="31"/>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 xml:space="preserve">Among exchanges in the Europe - Africa - Middle East, Moscow Exchange recorded trading of </w:t>
      </w:r>
      <w:r w:rsidRPr="002240ED">
        <w:rPr>
          <w:rFonts w:ascii="Palatino Linotype" w:hAnsi="Palatino Linotype"/>
          <w:sz w:val="22"/>
          <w:szCs w:val="22"/>
          <w:lang w:val="en-GB"/>
        </w:rPr>
        <w:lastRenderedPageBreak/>
        <w:t>74.0 million contracts and London Metal exchange (14.1 million contracts).  Number of contracts traded in Moscow Exchange increased by 30.3 per cent and it declined for London Metal Exchange by 7.6 per cent.</w:t>
      </w:r>
    </w:p>
    <w:p w:rsidR="002240ED" w:rsidRPr="002240ED" w:rsidRDefault="002240ED" w:rsidP="002240ED">
      <w:pPr>
        <w:pStyle w:val="CM14"/>
        <w:numPr>
          <w:ilvl w:val="0"/>
          <w:numId w:val="31"/>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Among exchanges in the Asia – Pacific, Shanghai Futures Exchange recorded trading of 158.0 million contracts and Dalian Commodity Exchange (128.3 million contracts), registering 16.6 per cent increase for the former and 0.47 per cent decline for the latter.</w:t>
      </w:r>
    </w:p>
    <w:p w:rsidR="002240ED" w:rsidRPr="002240ED" w:rsidRDefault="002240ED" w:rsidP="002240ED">
      <w:pPr>
        <w:jc w:val="both"/>
        <w:outlineLvl w:val="0"/>
        <w:rPr>
          <w:rFonts w:ascii="Palatino Linotype" w:hAnsi="Palatino Linotype"/>
          <w:b/>
          <w:sz w:val="22"/>
          <w:szCs w:val="22"/>
        </w:rPr>
      </w:pPr>
    </w:p>
    <w:p w:rsidR="002240ED" w:rsidRPr="002240ED" w:rsidRDefault="002240ED" w:rsidP="002240ED">
      <w:pPr>
        <w:jc w:val="both"/>
        <w:outlineLvl w:val="0"/>
        <w:rPr>
          <w:rFonts w:ascii="Palatino Linotype" w:hAnsi="Palatino Linotype"/>
          <w:b/>
          <w:sz w:val="22"/>
          <w:szCs w:val="22"/>
        </w:rPr>
      </w:pPr>
      <w:r w:rsidRPr="002240ED">
        <w:rPr>
          <w:rFonts w:ascii="Palatino Linotype" w:hAnsi="Palatino Linotype"/>
          <w:b/>
          <w:sz w:val="22"/>
          <w:szCs w:val="22"/>
        </w:rPr>
        <w:t>Commodity Options:</w:t>
      </w:r>
    </w:p>
    <w:p w:rsidR="002240ED" w:rsidRPr="002240ED" w:rsidRDefault="002240ED" w:rsidP="002240ED">
      <w:pPr>
        <w:pStyle w:val="CM14"/>
        <w:numPr>
          <w:ilvl w:val="0"/>
          <w:numId w:val="31"/>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Among exchanges in the Americas, CME Group recorded trading of 14.1 million contracts and ICE Futures US (0.9 million contracts), registering 10.4 per cent increase for the former and 22.1 per cent decline for the latter.</w:t>
      </w:r>
    </w:p>
    <w:p w:rsidR="002240ED" w:rsidRPr="002240ED" w:rsidRDefault="002240ED" w:rsidP="002240ED">
      <w:pPr>
        <w:pStyle w:val="CM14"/>
        <w:numPr>
          <w:ilvl w:val="0"/>
          <w:numId w:val="31"/>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Among exchanges in the Europe - Africa - Middle East, Moscow Exchange recorded trading of 1.1 million contracts and London Metal Exchange (0.5 million contracts), registering 97.9 per cent increase for the former and 11.7 per cent decline for the latter.</w:t>
      </w:r>
    </w:p>
    <w:p w:rsidR="002240ED" w:rsidRPr="002240ED" w:rsidRDefault="002240ED" w:rsidP="002240ED">
      <w:pPr>
        <w:pStyle w:val="CM14"/>
        <w:numPr>
          <w:ilvl w:val="0"/>
          <w:numId w:val="31"/>
        </w:numPr>
        <w:spacing w:after="0"/>
        <w:ind w:left="360"/>
        <w:jc w:val="both"/>
        <w:rPr>
          <w:rFonts w:ascii="Palatino Linotype" w:hAnsi="Palatino Linotype"/>
          <w:sz w:val="22"/>
          <w:szCs w:val="22"/>
          <w:lang w:val="en-GB"/>
        </w:rPr>
      </w:pPr>
      <w:r w:rsidRPr="002240ED">
        <w:rPr>
          <w:rFonts w:ascii="Palatino Linotype" w:hAnsi="Palatino Linotype"/>
          <w:sz w:val="22"/>
          <w:szCs w:val="22"/>
          <w:lang w:val="en-GB"/>
        </w:rPr>
        <w:t>Among exchanges in the Asia – Pacific, Dalian Commodity Exchange recorded trading of 2.5 million contracts, followed by Zhengzhou Commodity Exchange (0.7 million contracts), registering a decline of 2.6 per cent and 45.4 per cent, respectively for the exchanges.</w:t>
      </w:r>
    </w:p>
    <w:p w:rsidR="002240ED" w:rsidRPr="007A06B2" w:rsidRDefault="002240ED" w:rsidP="002240ED">
      <w:pPr>
        <w:pStyle w:val="Default"/>
        <w:rPr>
          <w:lang w:val="en-GB"/>
        </w:rPr>
      </w:pPr>
    </w:p>
    <w:tbl>
      <w:tblPr>
        <w:tblW w:w="9667" w:type="dxa"/>
        <w:jc w:val="center"/>
        <w:tblLook w:val="04A0" w:firstRow="1" w:lastRow="0" w:firstColumn="1" w:lastColumn="0" w:noHBand="0" w:noVBand="1"/>
      </w:tblPr>
      <w:tblGrid>
        <w:gridCol w:w="3140"/>
        <w:gridCol w:w="1170"/>
        <w:gridCol w:w="988"/>
        <w:gridCol w:w="1054"/>
        <w:gridCol w:w="1150"/>
        <w:gridCol w:w="1001"/>
        <w:gridCol w:w="1164"/>
      </w:tblGrid>
      <w:tr w:rsidR="002240ED" w:rsidRPr="0010072C" w:rsidTr="002240ED">
        <w:trPr>
          <w:trHeight w:val="330"/>
          <w:jc w:val="center"/>
        </w:trPr>
        <w:tc>
          <w:tcPr>
            <w:tcW w:w="9667" w:type="dxa"/>
            <w:gridSpan w:val="7"/>
            <w:tcBorders>
              <w:top w:val="nil"/>
              <w:left w:val="nil"/>
              <w:bottom w:val="single" w:sz="8" w:space="0" w:color="auto"/>
              <w:right w:val="nil"/>
            </w:tcBorders>
            <w:shd w:val="clear" w:color="auto" w:fill="auto"/>
            <w:noWrap/>
            <w:vAlign w:val="bottom"/>
            <w:hideMark/>
          </w:tcPr>
          <w:p w:rsidR="002240ED" w:rsidRPr="0010072C" w:rsidRDefault="002240ED" w:rsidP="002240ED">
            <w:pPr>
              <w:jc w:val="center"/>
              <w:rPr>
                <w:rFonts w:ascii="Garamond" w:eastAsia="Times New Roman" w:hAnsi="Garamond" w:cs="Calibri"/>
                <w:b/>
                <w:bCs/>
                <w:sz w:val="20"/>
                <w:szCs w:val="20"/>
                <w:lang w:val="en-US"/>
              </w:rPr>
            </w:pPr>
            <w:r w:rsidRPr="0010072C">
              <w:br w:type="page"/>
            </w:r>
            <w:r w:rsidRPr="0010072C">
              <w:rPr>
                <w:rFonts w:ascii="Garamond" w:hAnsi="Garamond"/>
              </w:rPr>
              <w:br w:type="page"/>
            </w:r>
            <w:r w:rsidRPr="0010072C">
              <w:rPr>
                <w:rFonts w:ascii="Garamond" w:eastAsia="Times New Roman" w:hAnsi="Garamond" w:cs="Calibri"/>
                <w:b/>
                <w:bCs/>
                <w:sz w:val="20"/>
                <w:szCs w:val="20"/>
                <w:lang w:val="en-US"/>
              </w:rPr>
              <w:t>Table A5: Stock Futures and Stock  Options Traded in Major Exchanges</w:t>
            </w:r>
          </w:p>
        </w:tc>
      </w:tr>
      <w:tr w:rsidR="002240ED" w:rsidRPr="0010072C" w:rsidTr="002240ED">
        <w:trPr>
          <w:trHeight w:val="270"/>
          <w:jc w:val="center"/>
        </w:trPr>
        <w:tc>
          <w:tcPr>
            <w:tcW w:w="3140" w:type="dxa"/>
            <w:vMerge w:val="restart"/>
            <w:tcBorders>
              <w:top w:val="nil"/>
              <w:left w:val="single" w:sz="8" w:space="0" w:color="auto"/>
              <w:bottom w:val="single" w:sz="8" w:space="0" w:color="000000"/>
              <w:right w:val="single" w:sz="8" w:space="0" w:color="auto"/>
            </w:tcBorders>
            <w:shd w:val="clear" w:color="000000" w:fill="B8CCE4"/>
            <w:vAlign w:val="center"/>
            <w:hideMark/>
          </w:tcPr>
          <w:p w:rsidR="002240ED" w:rsidRPr="0010072C" w:rsidRDefault="002240ED" w:rsidP="002240ED">
            <w:pPr>
              <w:jc w:val="center"/>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Exchange</w:t>
            </w:r>
          </w:p>
        </w:tc>
        <w:tc>
          <w:tcPr>
            <w:tcW w:w="6527" w:type="dxa"/>
            <w:gridSpan w:val="6"/>
            <w:tcBorders>
              <w:top w:val="single" w:sz="8" w:space="0" w:color="auto"/>
              <w:left w:val="nil"/>
              <w:bottom w:val="single" w:sz="8" w:space="0" w:color="auto"/>
              <w:right w:val="single" w:sz="8" w:space="0" w:color="000000"/>
            </w:tcBorders>
            <w:shd w:val="clear" w:color="000000" w:fill="B8CCE4"/>
            <w:vAlign w:val="center"/>
            <w:hideMark/>
          </w:tcPr>
          <w:p w:rsidR="002240ED" w:rsidRPr="0010072C" w:rsidRDefault="002240ED" w:rsidP="002240ED">
            <w:pPr>
              <w:jc w:val="center"/>
              <w:rPr>
                <w:rFonts w:ascii="Garamond" w:eastAsia="Times New Roman" w:hAnsi="Garamond" w:cs="Calibri"/>
                <w:b/>
                <w:bCs/>
                <w:sz w:val="18"/>
                <w:szCs w:val="18"/>
                <w:lang w:val="en-US"/>
              </w:rPr>
            </w:pPr>
            <w:r>
              <w:rPr>
                <w:rFonts w:ascii="Garamond" w:eastAsia="Times New Roman" w:hAnsi="Garamond" w:cs="Calibri"/>
                <w:b/>
                <w:bCs/>
                <w:sz w:val="18"/>
                <w:szCs w:val="18"/>
                <w:lang w:val="en-US"/>
              </w:rPr>
              <w:t>Aug</w:t>
            </w:r>
            <w:r w:rsidRPr="0010072C">
              <w:rPr>
                <w:rFonts w:ascii="Garamond" w:eastAsia="Times New Roman" w:hAnsi="Garamond" w:cs="Calibri"/>
                <w:b/>
                <w:bCs/>
                <w:sz w:val="18"/>
                <w:szCs w:val="18"/>
                <w:lang w:val="en-US"/>
              </w:rPr>
              <w:t>-19</w:t>
            </w:r>
          </w:p>
        </w:tc>
      </w:tr>
      <w:tr w:rsidR="002240ED" w:rsidRPr="0010072C" w:rsidTr="002240ED">
        <w:trPr>
          <w:trHeight w:val="315"/>
          <w:jc w:val="center"/>
        </w:trPr>
        <w:tc>
          <w:tcPr>
            <w:tcW w:w="3140" w:type="dxa"/>
            <w:vMerge/>
            <w:tcBorders>
              <w:top w:val="nil"/>
              <w:left w:val="single" w:sz="8" w:space="0" w:color="auto"/>
              <w:bottom w:val="single" w:sz="8" w:space="0" w:color="000000"/>
              <w:right w:val="single" w:sz="8" w:space="0" w:color="auto"/>
            </w:tcBorders>
            <w:vAlign w:val="center"/>
            <w:hideMark/>
          </w:tcPr>
          <w:p w:rsidR="002240ED" w:rsidRPr="0010072C" w:rsidRDefault="002240ED" w:rsidP="002240ED">
            <w:pPr>
              <w:jc w:val="center"/>
              <w:rPr>
                <w:rFonts w:ascii="Garamond" w:eastAsia="Times New Roman" w:hAnsi="Garamond" w:cs="Calibri"/>
                <w:b/>
                <w:bCs/>
                <w:sz w:val="20"/>
                <w:szCs w:val="20"/>
                <w:lang w:val="en-US"/>
              </w:rPr>
            </w:pPr>
          </w:p>
        </w:tc>
        <w:tc>
          <w:tcPr>
            <w:tcW w:w="3212" w:type="dxa"/>
            <w:gridSpan w:val="3"/>
            <w:tcBorders>
              <w:top w:val="single" w:sz="8" w:space="0" w:color="auto"/>
              <w:left w:val="nil"/>
              <w:bottom w:val="single" w:sz="8" w:space="0" w:color="auto"/>
              <w:right w:val="single" w:sz="8" w:space="0" w:color="000000"/>
            </w:tcBorders>
            <w:shd w:val="clear" w:color="000000" w:fill="B8CCE4"/>
            <w:vAlign w:val="center"/>
            <w:hideMark/>
          </w:tcPr>
          <w:p w:rsidR="002240ED" w:rsidRPr="0010072C" w:rsidRDefault="002240ED" w:rsidP="002240ED">
            <w:pPr>
              <w:jc w:val="center"/>
              <w:rPr>
                <w:rFonts w:ascii="Garamond" w:eastAsia="Times New Roman" w:hAnsi="Garamond" w:cs="Calibri"/>
                <w:b/>
                <w:bCs/>
                <w:sz w:val="20"/>
                <w:szCs w:val="20"/>
                <w:lang w:bidi="hi-IN"/>
              </w:rPr>
            </w:pPr>
            <w:r w:rsidRPr="0010072C">
              <w:rPr>
                <w:rFonts w:ascii="Garamond" w:hAnsi="Garamond" w:cs="Calibri"/>
                <w:b/>
                <w:bCs/>
                <w:sz w:val="20"/>
                <w:szCs w:val="20"/>
              </w:rPr>
              <w:t>Single Stock Futures</w:t>
            </w:r>
          </w:p>
        </w:tc>
        <w:tc>
          <w:tcPr>
            <w:tcW w:w="3315" w:type="dxa"/>
            <w:gridSpan w:val="3"/>
            <w:tcBorders>
              <w:top w:val="single" w:sz="8" w:space="0" w:color="auto"/>
              <w:left w:val="nil"/>
              <w:bottom w:val="single" w:sz="8" w:space="0" w:color="auto"/>
              <w:right w:val="single" w:sz="8" w:space="0" w:color="000000"/>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Single Stock Options</w:t>
            </w:r>
          </w:p>
        </w:tc>
      </w:tr>
      <w:tr w:rsidR="002240ED" w:rsidRPr="0010072C" w:rsidTr="002240ED">
        <w:trPr>
          <w:trHeight w:val="795"/>
          <w:jc w:val="center"/>
        </w:trPr>
        <w:tc>
          <w:tcPr>
            <w:tcW w:w="3140" w:type="dxa"/>
            <w:vMerge/>
            <w:tcBorders>
              <w:top w:val="nil"/>
              <w:left w:val="single" w:sz="8" w:space="0" w:color="auto"/>
              <w:bottom w:val="single" w:sz="8" w:space="0" w:color="000000"/>
              <w:right w:val="single" w:sz="8" w:space="0" w:color="auto"/>
            </w:tcBorders>
            <w:vAlign w:val="center"/>
            <w:hideMark/>
          </w:tcPr>
          <w:p w:rsidR="002240ED" w:rsidRPr="0010072C" w:rsidRDefault="002240ED" w:rsidP="002240ED">
            <w:pPr>
              <w:jc w:val="center"/>
              <w:rPr>
                <w:rFonts w:ascii="Garamond" w:eastAsia="Times New Roman" w:hAnsi="Garamond" w:cs="Calibri"/>
                <w:b/>
                <w:bCs/>
                <w:sz w:val="20"/>
                <w:szCs w:val="20"/>
                <w:lang w:val="en-US"/>
              </w:rPr>
            </w:pPr>
          </w:p>
        </w:tc>
        <w:tc>
          <w:tcPr>
            <w:tcW w:w="1170"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eastAsia="Times New Roman" w:hAnsi="Garamond" w:cs="Calibri"/>
                <w:b/>
                <w:bCs/>
                <w:sz w:val="20"/>
                <w:szCs w:val="20"/>
                <w:lang w:bidi="hi-IN"/>
              </w:rPr>
            </w:pPr>
            <w:r w:rsidRPr="0010072C">
              <w:rPr>
                <w:rFonts w:ascii="Garamond" w:hAnsi="Garamond" w:cs="Calibri"/>
                <w:b/>
                <w:bCs/>
                <w:sz w:val="20"/>
                <w:szCs w:val="20"/>
              </w:rPr>
              <w:t>Number of Contracts Traded</w:t>
            </w:r>
          </w:p>
        </w:tc>
        <w:tc>
          <w:tcPr>
            <w:tcW w:w="988"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Notional Value</w:t>
            </w:r>
          </w:p>
        </w:tc>
        <w:tc>
          <w:tcPr>
            <w:tcW w:w="1054"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Open Interest</w:t>
            </w:r>
          </w:p>
        </w:tc>
        <w:tc>
          <w:tcPr>
            <w:tcW w:w="1150"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Number of Contracts Traded</w:t>
            </w:r>
          </w:p>
        </w:tc>
        <w:tc>
          <w:tcPr>
            <w:tcW w:w="1001"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Notional Value</w:t>
            </w:r>
          </w:p>
        </w:tc>
        <w:tc>
          <w:tcPr>
            <w:tcW w:w="1164"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Open Interest</w:t>
            </w:r>
          </w:p>
        </w:tc>
      </w:tr>
      <w:tr w:rsidR="002240ED" w:rsidRPr="0010072C" w:rsidTr="002240ED">
        <w:trPr>
          <w:trHeight w:val="255"/>
          <w:jc w:val="center"/>
        </w:trPr>
        <w:tc>
          <w:tcPr>
            <w:tcW w:w="3140" w:type="dxa"/>
            <w:tcBorders>
              <w:top w:val="nil"/>
              <w:left w:val="single" w:sz="8" w:space="0" w:color="auto"/>
              <w:bottom w:val="nil"/>
              <w:right w:val="nil"/>
            </w:tcBorders>
            <w:shd w:val="clear" w:color="000000" w:fill="B8CCE4"/>
            <w:noWrap/>
            <w:vAlign w:val="center"/>
            <w:hideMark/>
          </w:tcPr>
          <w:p w:rsidR="002240ED" w:rsidRPr="0010072C" w:rsidRDefault="002240ED" w:rsidP="002240ED">
            <w:pPr>
              <w:rPr>
                <w:rFonts w:ascii="Garamond" w:eastAsia="Times New Roman" w:hAnsi="Garamond" w:cs="Calibri"/>
                <w:b/>
                <w:bCs/>
                <w:sz w:val="20"/>
                <w:szCs w:val="20"/>
                <w:lang w:bidi="hi-IN"/>
              </w:rPr>
            </w:pPr>
            <w:r w:rsidRPr="0010072C">
              <w:rPr>
                <w:rFonts w:ascii="Garamond" w:hAnsi="Garamond" w:cs="Calibri"/>
                <w:b/>
                <w:bCs/>
                <w:sz w:val="20"/>
                <w:szCs w:val="20"/>
              </w:rPr>
              <w:t>Americas</w:t>
            </w:r>
          </w:p>
        </w:tc>
        <w:tc>
          <w:tcPr>
            <w:tcW w:w="1170" w:type="dxa"/>
            <w:tcBorders>
              <w:top w:val="nil"/>
              <w:left w:val="single" w:sz="4" w:space="0" w:color="auto"/>
              <w:bottom w:val="nil"/>
              <w:right w:val="single" w:sz="4" w:space="0" w:color="auto"/>
            </w:tcBorders>
            <w:shd w:val="clear" w:color="000000"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296,497</w:t>
            </w:r>
          </w:p>
        </w:tc>
        <w:tc>
          <w:tcPr>
            <w:tcW w:w="988" w:type="dxa"/>
            <w:tcBorders>
              <w:top w:val="nil"/>
              <w:left w:val="nil"/>
              <w:bottom w:val="nil"/>
              <w:right w:val="nil"/>
            </w:tcBorders>
            <w:shd w:val="clear" w:color="000000"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16</w:t>
            </w:r>
          </w:p>
        </w:tc>
        <w:tc>
          <w:tcPr>
            <w:tcW w:w="1054" w:type="dxa"/>
            <w:tcBorders>
              <w:top w:val="nil"/>
              <w:left w:val="single" w:sz="4" w:space="0" w:color="auto"/>
              <w:bottom w:val="nil"/>
              <w:right w:val="single" w:sz="4" w:space="0" w:color="auto"/>
            </w:tcBorders>
            <w:shd w:val="clear" w:color="000000"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206,819</w:t>
            </w:r>
          </w:p>
        </w:tc>
        <w:tc>
          <w:tcPr>
            <w:tcW w:w="1150" w:type="dxa"/>
            <w:tcBorders>
              <w:top w:val="nil"/>
              <w:left w:val="nil"/>
              <w:bottom w:val="nil"/>
              <w:right w:val="nil"/>
            </w:tcBorders>
            <w:shd w:val="clear" w:color="000000"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242,217,804</w:t>
            </w:r>
          </w:p>
        </w:tc>
        <w:tc>
          <w:tcPr>
            <w:tcW w:w="1001" w:type="dxa"/>
            <w:tcBorders>
              <w:top w:val="nil"/>
              <w:left w:val="single" w:sz="4" w:space="0" w:color="auto"/>
              <w:bottom w:val="nil"/>
              <w:right w:val="single" w:sz="4" w:space="0" w:color="auto"/>
            </w:tcBorders>
            <w:shd w:val="clear" w:color="000000"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400,065</w:t>
            </w:r>
          </w:p>
        </w:tc>
        <w:tc>
          <w:tcPr>
            <w:tcW w:w="1164" w:type="dxa"/>
            <w:tcBorders>
              <w:top w:val="nil"/>
              <w:left w:val="nil"/>
              <w:bottom w:val="nil"/>
              <w:right w:val="single" w:sz="8" w:space="0" w:color="auto"/>
            </w:tcBorders>
            <w:shd w:val="clear" w:color="000000"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207,469,639</w:t>
            </w:r>
          </w:p>
        </w:tc>
      </w:tr>
      <w:tr w:rsidR="002240ED" w:rsidRPr="0010072C" w:rsidTr="002240ED">
        <w:trPr>
          <w:trHeight w:val="255"/>
          <w:jc w:val="center"/>
        </w:trPr>
        <w:tc>
          <w:tcPr>
            <w:tcW w:w="3140" w:type="dxa"/>
            <w:tcBorders>
              <w:top w:val="nil"/>
              <w:left w:val="single" w:sz="8" w:space="0" w:color="auto"/>
              <w:bottom w:val="nil"/>
              <w:right w:val="nil"/>
            </w:tcBorders>
            <w:shd w:val="clear" w:color="auto" w:fill="auto"/>
            <w:noWrap/>
            <w:vAlign w:val="center"/>
            <w:hideMark/>
          </w:tcPr>
          <w:p w:rsidR="002240ED" w:rsidRPr="0010072C" w:rsidRDefault="002240ED" w:rsidP="002240ED">
            <w:pPr>
              <w:rPr>
                <w:rFonts w:ascii="Garamond" w:hAnsi="Garamond" w:cs="Calibri"/>
                <w:sz w:val="20"/>
                <w:szCs w:val="20"/>
              </w:rPr>
            </w:pPr>
            <w:r w:rsidRPr="0010072C">
              <w:rPr>
                <w:rFonts w:ascii="Garamond" w:hAnsi="Garamond" w:cs="Calibri"/>
                <w:sz w:val="20"/>
                <w:szCs w:val="20"/>
              </w:rPr>
              <w:t>B3 - Brasil Bolsa Balcão</w:t>
            </w:r>
          </w:p>
        </w:tc>
        <w:tc>
          <w:tcPr>
            <w:tcW w:w="1170"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50"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84,742,223</w:t>
            </w:r>
          </w:p>
        </w:tc>
        <w:tc>
          <w:tcPr>
            <w:tcW w:w="1001"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102,245</w:t>
            </w:r>
          </w:p>
        </w:tc>
        <w:tc>
          <w:tcPr>
            <w:tcW w:w="1164" w:type="dxa"/>
            <w:tcBorders>
              <w:top w:val="nil"/>
              <w:left w:val="nil"/>
              <w:bottom w:val="nil"/>
              <w:right w:val="single" w:sz="8"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24,785,390</w:t>
            </w:r>
          </w:p>
        </w:tc>
      </w:tr>
      <w:tr w:rsidR="002240ED" w:rsidRPr="0010072C" w:rsidTr="002240ED">
        <w:trPr>
          <w:trHeight w:val="255"/>
          <w:jc w:val="center"/>
        </w:trPr>
        <w:tc>
          <w:tcPr>
            <w:tcW w:w="3140" w:type="dxa"/>
            <w:tcBorders>
              <w:top w:val="nil"/>
              <w:left w:val="single" w:sz="8" w:space="0" w:color="auto"/>
              <w:bottom w:val="nil"/>
              <w:right w:val="nil"/>
            </w:tcBorders>
            <w:shd w:val="clear" w:color="auto" w:fill="auto"/>
            <w:noWrap/>
            <w:vAlign w:val="center"/>
            <w:hideMark/>
          </w:tcPr>
          <w:p w:rsidR="002240ED" w:rsidRPr="0010072C" w:rsidRDefault="002240ED" w:rsidP="002240ED">
            <w:pPr>
              <w:rPr>
                <w:rFonts w:ascii="Garamond" w:hAnsi="Garamond" w:cs="Calibri"/>
                <w:sz w:val="20"/>
                <w:szCs w:val="20"/>
              </w:rPr>
            </w:pPr>
            <w:r w:rsidRPr="0010072C">
              <w:rPr>
                <w:rFonts w:ascii="Garamond" w:hAnsi="Garamond" w:cs="Calibri"/>
                <w:sz w:val="20"/>
                <w:szCs w:val="20"/>
              </w:rPr>
              <w:t>Bolsa de Valores de Colombia</w:t>
            </w:r>
          </w:p>
        </w:tc>
        <w:tc>
          <w:tcPr>
            <w:tcW w:w="1170"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9,105</w:t>
            </w:r>
          </w:p>
        </w:tc>
        <w:tc>
          <w:tcPr>
            <w:tcW w:w="988"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12</w:t>
            </w:r>
          </w:p>
        </w:tc>
        <w:tc>
          <w:tcPr>
            <w:tcW w:w="1054"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23,486</w:t>
            </w:r>
          </w:p>
        </w:tc>
        <w:tc>
          <w:tcPr>
            <w:tcW w:w="1150"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01"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64" w:type="dxa"/>
            <w:tcBorders>
              <w:top w:val="nil"/>
              <w:left w:val="nil"/>
              <w:bottom w:val="nil"/>
              <w:right w:val="single" w:sz="8"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r>
      <w:tr w:rsidR="002240ED" w:rsidRPr="0010072C" w:rsidTr="002240ED">
        <w:trPr>
          <w:trHeight w:val="255"/>
          <w:jc w:val="center"/>
        </w:trPr>
        <w:tc>
          <w:tcPr>
            <w:tcW w:w="3140" w:type="dxa"/>
            <w:tcBorders>
              <w:top w:val="nil"/>
              <w:left w:val="single" w:sz="8" w:space="0" w:color="auto"/>
              <w:bottom w:val="nil"/>
              <w:right w:val="nil"/>
            </w:tcBorders>
            <w:shd w:val="clear" w:color="auto" w:fill="auto"/>
            <w:noWrap/>
            <w:vAlign w:val="center"/>
            <w:hideMark/>
          </w:tcPr>
          <w:p w:rsidR="002240ED" w:rsidRPr="0010072C" w:rsidRDefault="002240ED" w:rsidP="002240ED">
            <w:pPr>
              <w:rPr>
                <w:rFonts w:ascii="Garamond" w:hAnsi="Garamond" w:cs="Calibri"/>
                <w:sz w:val="20"/>
                <w:szCs w:val="20"/>
              </w:rPr>
            </w:pPr>
            <w:r w:rsidRPr="0010072C">
              <w:rPr>
                <w:rFonts w:ascii="Garamond" w:hAnsi="Garamond" w:cs="Calibri"/>
                <w:sz w:val="20"/>
                <w:szCs w:val="20"/>
              </w:rPr>
              <w:t>Bolsa Mexicana de Valores</w:t>
            </w:r>
          </w:p>
        </w:tc>
        <w:tc>
          <w:tcPr>
            <w:tcW w:w="1170"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50"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01"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64" w:type="dxa"/>
            <w:tcBorders>
              <w:top w:val="nil"/>
              <w:left w:val="nil"/>
              <w:bottom w:val="nil"/>
              <w:right w:val="single" w:sz="8"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r>
      <w:tr w:rsidR="002240ED" w:rsidRPr="0010072C" w:rsidTr="002240ED">
        <w:trPr>
          <w:trHeight w:val="255"/>
          <w:jc w:val="center"/>
        </w:trPr>
        <w:tc>
          <w:tcPr>
            <w:tcW w:w="3140" w:type="dxa"/>
            <w:tcBorders>
              <w:top w:val="nil"/>
              <w:left w:val="single" w:sz="8" w:space="0" w:color="auto"/>
              <w:bottom w:val="nil"/>
              <w:right w:val="nil"/>
            </w:tcBorders>
            <w:shd w:val="clear" w:color="auto" w:fill="auto"/>
            <w:noWrap/>
            <w:vAlign w:val="center"/>
            <w:hideMark/>
          </w:tcPr>
          <w:p w:rsidR="002240ED" w:rsidRPr="0010072C" w:rsidRDefault="002240ED" w:rsidP="002240ED">
            <w:pPr>
              <w:rPr>
                <w:rFonts w:ascii="Garamond" w:hAnsi="Garamond" w:cs="Calibri"/>
                <w:sz w:val="20"/>
                <w:szCs w:val="20"/>
              </w:rPr>
            </w:pPr>
            <w:r w:rsidRPr="0010072C">
              <w:rPr>
                <w:rFonts w:ascii="Garamond" w:hAnsi="Garamond" w:cs="Calibri"/>
                <w:sz w:val="20"/>
                <w:szCs w:val="20"/>
              </w:rPr>
              <w:t>Cboe Global Markets</w:t>
            </w:r>
          </w:p>
        </w:tc>
        <w:tc>
          <w:tcPr>
            <w:tcW w:w="1170"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50"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71,855,996</w:t>
            </w:r>
          </w:p>
        </w:tc>
        <w:tc>
          <w:tcPr>
            <w:tcW w:w="1001"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64" w:type="dxa"/>
            <w:tcBorders>
              <w:top w:val="nil"/>
              <w:left w:val="nil"/>
              <w:bottom w:val="nil"/>
              <w:right w:val="single" w:sz="8"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178,643,508</w:t>
            </w:r>
          </w:p>
        </w:tc>
      </w:tr>
      <w:tr w:rsidR="002240ED" w:rsidRPr="0010072C" w:rsidTr="002240ED">
        <w:trPr>
          <w:trHeight w:val="255"/>
          <w:jc w:val="center"/>
        </w:trPr>
        <w:tc>
          <w:tcPr>
            <w:tcW w:w="3140" w:type="dxa"/>
            <w:tcBorders>
              <w:top w:val="nil"/>
              <w:left w:val="single" w:sz="8" w:space="0" w:color="auto"/>
              <w:bottom w:val="nil"/>
              <w:right w:val="nil"/>
            </w:tcBorders>
            <w:shd w:val="clear" w:color="000000" w:fill="B8CCE4"/>
            <w:noWrap/>
            <w:vAlign w:val="center"/>
            <w:hideMark/>
          </w:tcPr>
          <w:p w:rsidR="002240ED" w:rsidRPr="0010072C" w:rsidRDefault="002240ED" w:rsidP="002240ED">
            <w:pPr>
              <w:rPr>
                <w:rFonts w:ascii="Garamond" w:hAnsi="Garamond" w:cs="Calibri"/>
                <w:b/>
                <w:bCs/>
                <w:sz w:val="20"/>
                <w:szCs w:val="20"/>
              </w:rPr>
            </w:pPr>
            <w:r w:rsidRPr="0010072C">
              <w:rPr>
                <w:rFonts w:ascii="Garamond" w:hAnsi="Garamond" w:cs="Calibri"/>
                <w:b/>
                <w:bCs/>
                <w:sz w:val="20"/>
                <w:szCs w:val="20"/>
              </w:rPr>
              <w:t>Asia - Pacific</w:t>
            </w:r>
          </w:p>
        </w:tc>
        <w:tc>
          <w:tcPr>
            <w:tcW w:w="1170" w:type="dxa"/>
            <w:tcBorders>
              <w:top w:val="nil"/>
              <w:left w:val="single" w:sz="4" w:space="0" w:color="auto"/>
              <w:bottom w:val="nil"/>
              <w:right w:val="single" w:sz="4" w:space="0" w:color="auto"/>
            </w:tcBorders>
            <w:shd w:val="clear" w:color="000000"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80,003,535</w:t>
            </w:r>
          </w:p>
        </w:tc>
        <w:tc>
          <w:tcPr>
            <w:tcW w:w="988" w:type="dxa"/>
            <w:tcBorders>
              <w:top w:val="nil"/>
              <w:left w:val="nil"/>
              <w:bottom w:val="nil"/>
              <w:right w:val="nil"/>
            </w:tcBorders>
            <w:shd w:val="clear" w:color="000000"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206,654</w:t>
            </w:r>
          </w:p>
        </w:tc>
        <w:tc>
          <w:tcPr>
            <w:tcW w:w="1054" w:type="dxa"/>
            <w:tcBorders>
              <w:top w:val="nil"/>
              <w:left w:val="single" w:sz="4" w:space="0" w:color="auto"/>
              <w:bottom w:val="nil"/>
              <w:right w:val="single" w:sz="4" w:space="0" w:color="auto"/>
            </w:tcBorders>
            <w:shd w:val="clear" w:color="000000"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9,559,950</w:t>
            </w:r>
          </w:p>
        </w:tc>
        <w:tc>
          <w:tcPr>
            <w:tcW w:w="1150" w:type="dxa"/>
            <w:tcBorders>
              <w:top w:val="nil"/>
              <w:left w:val="nil"/>
              <w:bottom w:val="nil"/>
              <w:right w:val="nil"/>
            </w:tcBorders>
            <w:shd w:val="clear" w:color="000000"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36,372,070</w:t>
            </w:r>
          </w:p>
        </w:tc>
        <w:tc>
          <w:tcPr>
            <w:tcW w:w="1001" w:type="dxa"/>
            <w:tcBorders>
              <w:top w:val="nil"/>
              <w:left w:val="single" w:sz="4" w:space="0" w:color="auto"/>
              <w:bottom w:val="nil"/>
              <w:right w:val="single" w:sz="4" w:space="0" w:color="auto"/>
            </w:tcBorders>
            <w:shd w:val="clear" w:color="000000"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188,239</w:t>
            </w:r>
          </w:p>
        </w:tc>
        <w:tc>
          <w:tcPr>
            <w:tcW w:w="1164" w:type="dxa"/>
            <w:tcBorders>
              <w:top w:val="nil"/>
              <w:left w:val="nil"/>
              <w:bottom w:val="nil"/>
              <w:right w:val="single" w:sz="8" w:space="0" w:color="auto"/>
            </w:tcBorders>
            <w:shd w:val="clear" w:color="000000"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17,159,437</w:t>
            </w:r>
          </w:p>
        </w:tc>
      </w:tr>
      <w:tr w:rsidR="002240ED" w:rsidRPr="0010072C" w:rsidTr="002240ED">
        <w:trPr>
          <w:trHeight w:val="255"/>
          <w:jc w:val="center"/>
        </w:trPr>
        <w:tc>
          <w:tcPr>
            <w:tcW w:w="3140" w:type="dxa"/>
            <w:tcBorders>
              <w:top w:val="nil"/>
              <w:left w:val="single" w:sz="8" w:space="0" w:color="auto"/>
              <w:bottom w:val="nil"/>
              <w:right w:val="nil"/>
            </w:tcBorders>
            <w:shd w:val="clear" w:color="auto" w:fill="auto"/>
            <w:noWrap/>
            <w:vAlign w:val="center"/>
            <w:hideMark/>
          </w:tcPr>
          <w:p w:rsidR="002240ED" w:rsidRPr="0010072C" w:rsidRDefault="002240ED" w:rsidP="002240ED">
            <w:pPr>
              <w:rPr>
                <w:rFonts w:ascii="Garamond" w:hAnsi="Garamond" w:cs="Calibri"/>
                <w:sz w:val="20"/>
                <w:szCs w:val="20"/>
              </w:rPr>
            </w:pPr>
            <w:r w:rsidRPr="0010072C">
              <w:rPr>
                <w:rFonts w:ascii="Garamond" w:hAnsi="Garamond" w:cs="Calibri"/>
                <w:sz w:val="20"/>
                <w:szCs w:val="20"/>
              </w:rPr>
              <w:t>ASX Australian Securities Exchange</w:t>
            </w:r>
          </w:p>
        </w:tc>
        <w:tc>
          <w:tcPr>
            <w:tcW w:w="1170"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32,594</w:t>
            </w:r>
          </w:p>
        </w:tc>
        <w:tc>
          <w:tcPr>
            <w:tcW w:w="988"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75</w:t>
            </w:r>
          </w:p>
        </w:tc>
        <w:tc>
          <w:tcPr>
            <w:tcW w:w="1054"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674,185</w:t>
            </w:r>
          </w:p>
        </w:tc>
        <w:tc>
          <w:tcPr>
            <w:tcW w:w="1150"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6,085,749</w:t>
            </w:r>
          </w:p>
        </w:tc>
        <w:tc>
          <w:tcPr>
            <w:tcW w:w="1001"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12,113</w:t>
            </w:r>
          </w:p>
        </w:tc>
        <w:tc>
          <w:tcPr>
            <w:tcW w:w="1164" w:type="dxa"/>
            <w:tcBorders>
              <w:top w:val="nil"/>
              <w:left w:val="nil"/>
              <w:bottom w:val="nil"/>
              <w:right w:val="single" w:sz="8"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7,095,278</w:t>
            </w:r>
          </w:p>
        </w:tc>
      </w:tr>
      <w:tr w:rsidR="002240ED" w:rsidRPr="0010072C" w:rsidTr="002240ED">
        <w:trPr>
          <w:trHeight w:val="255"/>
          <w:jc w:val="center"/>
        </w:trPr>
        <w:tc>
          <w:tcPr>
            <w:tcW w:w="3140" w:type="dxa"/>
            <w:tcBorders>
              <w:top w:val="nil"/>
              <w:left w:val="single" w:sz="8" w:space="0" w:color="auto"/>
              <w:bottom w:val="nil"/>
              <w:right w:val="nil"/>
            </w:tcBorders>
            <w:shd w:val="clear" w:color="auto" w:fill="auto"/>
            <w:noWrap/>
            <w:vAlign w:val="center"/>
            <w:hideMark/>
          </w:tcPr>
          <w:p w:rsidR="002240ED" w:rsidRPr="0010072C" w:rsidRDefault="002240ED" w:rsidP="002240ED">
            <w:pPr>
              <w:rPr>
                <w:rFonts w:ascii="Garamond" w:hAnsi="Garamond" w:cs="Calibri"/>
                <w:sz w:val="20"/>
                <w:szCs w:val="20"/>
              </w:rPr>
            </w:pPr>
            <w:r w:rsidRPr="0010072C">
              <w:rPr>
                <w:rFonts w:ascii="Garamond" w:hAnsi="Garamond" w:cs="Calibri"/>
                <w:sz w:val="20"/>
                <w:szCs w:val="20"/>
              </w:rPr>
              <w:t>Hong Kong Exchanges and Clearing</w:t>
            </w:r>
          </w:p>
        </w:tc>
        <w:tc>
          <w:tcPr>
            <w:tcW w:w="1170"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52,216</w:t>
            </w:r>
          </w:p>
        </w:tc>
        <w:tc>
          <w:tcPr>
            <w:tcW w:w="988"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213</w:t>
            </w:r>
          </w:p>
        </w:tc>
        <w:tc>
          <w:tcPr>
            <w:tcW w:w="1054"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16,834</w:t>
            </w:r>
          </w:p>
        </w:tc>
        <w:tc>
          <w:tcPr>
            <w:tcW w:w="1150"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10,139,778</w:t>
            </w:r>
          </w:p>
        </w:tc>
        <w:tc>
          <w:tcPr>
            <w:tcW w:w="1001"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31,214</w:t>
            </w:r>
          </w:p>
        </w:tc>
        <w:tc>
          <w:tcPr>
            <w:tcW w:w="1164" w:type="dxa"/>
            <w:tcBorders>
              <w:top w:val="nil"/>
              <w:left w:val="nil"/>
              <w:bottom w:val="nil"/>
              <w:right w:val="single" w:sz="8"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9,216,413</w:t>
            </w:r>
          </w:p>
        </w:tc>
      </w:tr>
      <w:tr w:rsidR="002240ED" w:rsidRPr="0010072C" w:rsidTr="002240ED">
        <w:trPr>
          <w:trHeight w:val="255"/>
          <w:jc w:val="center"/>
        </w:trPr>
        <w:tc>
          <w:tcPr>
            <w:tcW w:w="3140" w:type="dxa"/>
            <w:tcBorders>
              <w:top w:val="nil"/>
              <w:left w:val="single" w:sz="8" w:space="0" w:color="auto"/>
              <w:bottom w:val="nil"/>
              <w:right w:val="nil"/>
            </w:tcBorders>
            <w:shd w:val="clear" w:color="auto" w:fill="auto"/>
            <w:noWrap/>
            <w:vAlign w:val="center"/>
            <w:hideMark/>
          </w:tcPr>
          <w:p w:rsidR="002240ED" w:rsidRPr="0010072C" w:rsidRDefault="002240ED" w:rsidP="002240ED">
            <w:pPr>
              <w:rPr>
                <w:rFonts w:ascii="Garamond" w:hAnsi="Garamond" w:cs="Calibri"/>
                <w:sz w:val="20"/>
                <w:szCs w:val="20"/>
              </w:rPr>
            </w:pPr>
            <w:r w:rsidRPr="0010072C">
              <w:rPr>
                <w:rFonts w:ascii="Garamond" w:hAnsi="Garamond" w:cs="Calibri"/>
                <w:sz w:val="20"/>
                <w:szCs w:val="20"/>
              </w:rPr>
              <w:t>Japan Exchange Group</w:t>
            </w:r>
          </w:p>
        </w:tc>
        <w:tc>
          <w:tcPr>
            <w:tcW w:w="1170"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50"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69,012</w:t>
            </w:r>
          </w:p>
        </w:tc>
        <w:tc>
          <w:tcPr>
            <w:tcW w:w="1001"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64" w:type="dxa"/>
            <w:tcBorders>
              <w:top w:val="nil"/>
              <w:left w:val="nil"/>
              <w:bottom w:val="nil"/>
              <w:right w:val="single" w:sz="8"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168,997</w:t>
            </w:r>
          </w:p>
        </w:tc>
      </w:tr>
      <w:tr w:rsidR="002240ED" w:rsidRPr="0010072C" w:rsidTr="002240ED">
        <w:trPr>
          <w:trHeight w:val="255"/>
          <w:jc w:val="center"/>
        </w:trPr>
        <w:tc>
          <w:tcPr>
            <w:tcW w:w="3140" w:type="dxa"/>
            <w:tcBorders>
              <w:top w:val="nil"/>
              <w:left w:val="single" w:sz="8" w:space="0" w:color="auto"/>
              <w:bottom w:val="nil"/>
              <w:right w:val="nil"/>
            </w:tcBorders>
            <w:shd w:val="clear" w:color="auto" w:fill="auto"/>
            <w:noWrap/>
            <w:vAlign w:val="center"/>
            <w:hideMark/>
          </w:tcPr>
          <w:p w:rsidR="002240ED" w:rsidRPr="0010072C" w:rsidRDefault="002240ED" w:rsidP="002240ED">
            <w:pPr>
              <w:rPr>
                <w:rFonts w:ascii="Garamond" w:hAnsi="Garamond" w:cs="Calibri"/>
                <w:sz w:val="20"/>
                <w:szCs w:val="20"/>
              </w:rPr>
            </w:pPr>
            <w:r w:rsidRPr="0010072C">
              <w:rPr>
                <w:rFonts w:ascii="Garamond" w:hAnsi="Garamond" w:cs="Calibri"/>
                <w:sz w:val="20"/>
                <w:szCs w:val="20"/>
              </w:rPr>
              <w:t>Korea Exchange</w:t>
            </w:r>
          </w:p>
        </w:tc>
        <w:tc>
          <w:tcPr>
            <w:tcW w:w="1170"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50,863,455</w:t>
            </w:r>
          </w:p>
        </w:tc>
        <w:tc>
          <w:tcPr>
            <w:tcW w:w="988"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22,099</w:t>
            </w:r>
          </w:p>
        </w:tc>
        <w:tc>
          <w:tcPr>
            <w:tcW w:w="1054"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4,195,154</w:t>
            </w:r>
          </w:p>
        </w:tc>
        <w:tc>
          <w:tcPr>
            <w:tcW w:w="1150"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2,153,628</w:t>
            </w:r>
          </w:p>
        </w:tc>
        <w:tc>
          <w:tcPr>
            <w:tcW w:w="1001"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64" w:type="dxa"/>
            <w:tcBorders>
              <w:top w:val="nil"/>
              <w:left w:val="nil"/>
              <w:bottom w:val="nil"/>
              <w:right w:val="single" w:sz="8"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351,379</w:t>
            </w:r>
          </w:p>
        </w:tc>
      </w:tr>
      <w:tr w:rsidR="002240ED" w:rsidRPr="0010072C" w:rsidTr="002240ED">
        <w:trPr>
          <w:trHeight w:val="255"/>
          <w:jc w:val="center"/>
        </w:trPr>
        <w:tc>
          <w:tcPr>
            <w:tcW w:w="3140" w:type="dxa"/>
            <w:tcBorders>
              <w:top w:val="nil"/>
              <w:left w:val="single" w:sz="8" w:space="0" w:color="auto"/>
              <w:bottom w:val="nil"/>
              <w:right w:val="nil"/>
            </w:tcBorders>
            <w:shd w:val="clear" w:color="auto" w:fill="auto"/>
            <w:noWrap/>
            <w:vAlign w:val="center"/>
            <w:hideMark/>
          </w:tcPr>
          <w:p w:rsidR="002240ED" w:rsidRPr="0010072C" w:rsidRDefault="002240ED" w:rsidP="002240ED">
            <w:pPr>
              <w:rPr>
                <w:rFonts w:ascii="Garamond" w:hAnsi="Garamond" w:cs="Calibri"/>
                <w:sz w:val="20"/>
                <w:szCs w:val="20"/>
              </w:rPr>
            </w:pPr>
            <w:r w:rsidRPr="0010072C">
              <w:rPr>
                <w:rFonts w:ascii="Garamond" w:hAnsi="Garamond" w:cs="Calibri"/>
                <w:sz w:val="20"/>
                <w:szCs w:val="20"/>
              </w:rPr>
              <w:t>National Stock Exchange of India Limited</w:t>
            </w:r>
          </w:p>
        </w:tc>
        <w:tc>
          <w:tcPr>
            <w:tcW w:w="1170"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22,257,696</w:t>
            </w:r>
          </w:p>
        </w:tc>
        <w:tc>
          <w:tcPr>
            <w:tcW w:w="988"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168,911</w:t>
            </w:r>
          </w:p>
        </w:tc>
        <w:tc>
          <w:tcPr>
            <w:tcW w:w="1054"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1,860,832</w:t>
            </w:r>
          </w:p>
        </w:tc>
        <w:tc>
          <w:tcPr>
            <w:tcW w:w="1150"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17,909,337</w:t>
            </w:r>
          </w:p>
        </w:tc>
        <w:tc>
          <w:tcPr>
            <w:tcW w:w="1001"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144,854</w:t>
            </w:r>
          </w:p>
        </w:tc>
        <w:tc>
          <w:tcPr>
            <w:tcW w:w="1164" w:type="dxa"/>
            <w:tcBorders>
              <w:top w:val="nil"/>
              <w:left w:val="nil"/>
              <w:bottom w:val="nil"/>
              <w:right w:val="single" w:sz="8"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322,688</w:t>
            </w:r>
          </w:p>
        </w:tc>
      </w:tr>
      <w:tr w:rsidR="002240ED" w:rsidRPr="0010072C" w:rsidTr="002240ED">
        <w:trPr>
          <w:trHeight w:val="255"/>
          <w:jc w:val="center"/>
        </w:trPr>
        <w:tc>
          <w:tcPr>
            <w:tcW w:w="3140" w:type="dxa"/>
            <w:tcBorders>
              <w:top w:val="nil"/>
              <w:left w:val="single" w:sz="8" w:space="0" w:color="auto"/>
              <w:bottom w:val="nil"/>
              <w:right w:val="nil"/>
            </w:tcBorders>
            <w:shd w:val="clear" w:color="auto" w:fill="auto"/>
            <w:noWrap/>
            <w:vAlign w:val="center"/>
            <w:hideMark/>
          </w:tcPr>
          <w:p w:rsidR="002240ED" w:rsidRPr="0010072C" w:rsidRDefault="002240ED" w:rsidP="002240ED">
            <w:pPr>
              <w:rPr>
                <w:rFonts w:ascii="Garamond" w:hAnsi="Garamond" w:cs="Calibri"/>
                <w:sz w:val="20"/>
                <w:szCs w:val="20"/>
              </w:rPr>
            </w:pPr>
            <w:r w:rsidRPr="0010072C">
              <w:rPr>
                <w:rFonts w:ascii="Garamond" w:hAnsi="Garamond" w:cs="Calibri"/>
                <w:sz w:val="20"/>
                <w:szCs w:val="20"/>
              </w:rPr>
              <w:t>Taiwan Futures Exchange</w:t>
            </w:r>
          </w:p>
        </w:tc>
        <w:tc>
          <w:tcPr>
            <w:tcW w:w="1170"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1,782,889</w:t>
            </w:r>
          </w:p>
        </w:tc>
        <w:tc>
          <w:tcPr>
            <w:tcW w:w="988"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15,356</w:t>
            </w:r>
          </w:p>
        </w:tc>
        <w:tc>
          <w:tcPr>
            <w:tcW w:w="1054"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130,375</w:t>
            </w:r>
          </w:p>
        </w:tc>
        <w:tc>
          <w:tcPr>
            <w:tcW w:w="1150"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14,566</w:t>
            </w:r>
          </w:p>
        </w:tc>
        <w:tc>
          <w:tcPr>
            <w:tcW w:w="1001"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58</w:t>
            </w:r>
          </w:p>
        </w:tc>
        <w:tc>
          <w:tcPr>
            <w:tcW w:w="1164" w:type="dxa"/>
            <w:tcBorders>
              <w:top w:val="nil"/>
              <w:left w:val="nil"/>
              <w:bottom w:val="nil"/>
              <w:right w:val="single" w:sz="8"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4,682</w:t>
            </w:r>
          </w:p>
        </w:tc>
      </w:tr>
      <w:tr w:rsidR="002240ED" w:rsidRPr="0010072C" w:rsidTr="002240ED">
        <w:trPr>
          <w:trHeight w:val="255"/>
          <w:jc w:val="center"/>
        </w:trPr>
        <w:tc>
          <w:tcPr>
            <w:tcW w:w="3140" w:type="dxa"/>
            <w:tcBorders>
              <w:top w:val="nil"/>
              <w:left w:val="single" w:sz="8" w:space="0" w:color="auto"/>
              <w:bottom w:val="nil"/>
              <w:right w:val="nil"/>
            </w:tcBorders>
            <w:shd w:val="clear" w:color="auto" w:fill="auto"/>
            <w:noWrap/>
            <w:vAlign w:val="center"/>
            <w:hideMark/>
          </w:tcPr>
          <w:p w:rsidR="002240ED" w:rsidRPr="0010072C" w:rsidRDefault="002240ED" w:rsidP="002240ED">
            <w:pPr>
              <w:rPr>
                <w:rFonts w:ascii="Garamond" w:hAnsi="Garamond" w:cs="Calibri"/>
                <w:sz w:val="20"/>
                <w:szCs w:val="20"/>
              </w:rPr>
            </w:pPr>
            <w:r w:rsidRPr="0010072C">
              <w:rPr>
                <w:rFonts w:ascii="Garamond" w:hAnsi="Garamond" w:cs="Calibri"/>
                <w:sz w:val="20"/>
                <w:szCs w:val="20"/>
              </w:rPr>
              <w:t>Thailand Futures Exchange</w:t>
            </w:r>
          </w:p>
        </w:tc>
        <w:tc>
          <w:tcPr>
            <w:tcW w:w="1170"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4,851,478</w:t>
            </w:r>
          </w:p>
        </w:tc>
        <w:tc>
          <w:tcPr>
            <w:tcW w:w="988"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2,632,612</w:t>
            </w:r>
          </w:p>
        </w:tc>
        <w:tc>
          <w:tcPr>
            <w:tcW w:w="1150"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01"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64" w:type="dxa"/>
            <w:tcBorders>
              <w:top w:val="nil"/>
              <w:left w:val="nil"/>
              <w:bottom w:val="nil"/>
              <w:right w:val="single" w:sz="8"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r>
      <w:tr w:rsidR="002240ED" w:rsidRPr="0010072C" w:rsidTr="002240ED">
        <w:trPr>
          <w:trHeight w:val="255"/>
          <w:jc w:val="center"/>
        </w:trPr>
        <w:tc>
          <w:tcPr>
            <w:tcW w:w="3140" w:type="dxa"/>
            <w:tcBorders>
              <w:top w:val="nil"/>
              <w:left w:val="single" w:sz="8" w:space="0" w:color="auto"/>
              <w:bottom w:val="nil"/>
              <w:right w:val="nil"/>
            </w:tcBorders>
            <w:shd w:val="clear" w:color="000000" w:fill="B8CCE4"/>
            <w:noWrap/>
            <w:vAlign w:val="center"/>
            <w:hideMark/>
          </w:tcPr>
          <w:p w:rsidR="002240ED" w:rsidRPr="0010072C" w:rsidRDefault="002240ED" w:rsidP="002240ED">
            <w:pPr>
              <w:rPr>
                <w:rFonts w:ascii="Garamond" w:hAnsi="Garamond" w:cs="Calibri"/>
                <w:b/>
                <w:bCs/>
                <w:sz w:val="20"/>
                <w:szCs w:val="20"/>
              </w:rPr>
            </w:pPr>
            <w:r w:rsidRPr="0010072C">
              <w:rPr>
                <w:rFonts w:ascii="Garamond" w:hAnsi="Garamond" w:cs="Calibri"/>
                <w:b/>
                <w:bCs/>
                <w:sz w:val="20"/>
                <w:szCs w:val="20"/>
              </w:rPr>
              <w:t>Europe - Africa - Middle East</w:t>
            </w:r>
          </w:p>
        </w:tc>
        <w:tc>
          <w:tcPr>
            <w:tcW w:w="1170" w:type="dxa"/>
            <w:tcBorders>
              <w:top w:val="nil"/>
              <w:left w:val="single" w:sz="4" w:space="0" w:color="auto"/>
              <w:bottom w:val="nil"/>
              <w:right w:val="single" w:sz="4" w:space="0" w:color="auto"/>
            </w:tcBorders>
            <w:shd w:val="clear" w:color="000000"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43,441,028</w:t>
            </w:r>
          </w:p>
        </w:tc>
        <w:tc>
          <w:tcPr>
            <w:tcW w:w="988" w:type="dxa"/>
            <w:tcBorders>
              <w:top w:val="nil"/>
              <w:left w:val="nil"/>
              <w:bottom w:val="nil"/>
              <w:right w:val="nil"/>
            </w:tcBorders>
            <w:shd w:val="clear" w:color="000000"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158,121</w:t>
            </w:r>
          </w:p>
        </w:tc>
        <w:tc>
          <w:tcPr>
            <w:tcW w:w="1054" w:type="dxa"/>
            <w:tcBorders>
              <w:top w:val="nil"/>
              <w:left w:val="single" w:sz="4" w:space="0" w:color="auto"/>
              <w:bottom w:val="nil"/>
              <w:right w:val="single" w:sz="4" w:space="0" w:color="auto"/>
            </w:tcBorders>
            <w:shd w:val="clear" w:color="000000"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15,345,701</w:t>
            </w:r>
          </w:p>
        </w:tc>
        <w:tc>
          <w:tcPr>
            <w:tcW w:w="1150" w:type="dxa"/>
            <w:tcBorders>
              <w:top w:val="nil"/>
              <w:left w:val="nil"/>
              <w:bottom w:val="nil"/>
              <w:right w:val="nil"/>
            </w:tcBorders>
            <w:shd w:val="clear" w:color="000000"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24,903,244</w:t>
            </w:r>
          </w:p>
        </w:tc>
        <w:tc>
          <w:tcPr>
            <w:tcW w:w="1001" w:type="dxa"/>
            <w:tcBorders>
              <w:top w:val="nil"/>
              <w:left w:val="single" w:sz="4" w:space="0" w:color="auto"/>
              <w:bottom w:val="nil"/>
              <w:right w:val="single" w:sz="4" w:space="0" w:color="auto"/>
            </w:tcBorders>
            <w:shd w:val="clear" w:color="000000"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112,150</w:t>
            </w:r>
          </w:p>
        </w:tc>
        <w:tc>
          <w:tcPr>
            <w:tcW w:w="1164" w:type="dxa"/>
            <w:tcBorders>
              <w:top w:val="nil"/>
              <w:left w:val="nil"/>
              <w:bottom w:val="nil"/>
              <w:right w:val="single" w:sz="8" w:space="0" w:color="auto"/>
            </w:tcBorders>
            <w:shd w:val="clear" w:color="000000"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94,537,528</w:t>
            </w:r>
          </w:p>
        </w:tc>
      </w:tr>
      <w:tr w:rsidR="002240ED" w:rsidRPr="0010072C" w:rsidTr="002240ED">
        <w:trPr>
          <w:trHeight w:val="255"/>
          <w:jc w:val="center"/>
        </w:trPr>
        <w:tc>
          <w:tcPr>
            <w:tcW w:w="3140" w:type="dxa"/>
            <w:tcBorders>
              <w:top w:val="nil"/>
              <w:left w:val="single" w:sz="8" w:space="0" w:color="auto"/>
              <w:bottom w:val="nil"/>
              <w:right w:val="nil"/>
            </w:tcBorders>
            <w:shd w:val="clear" w:color="auto" w:fill="auto"/>
            <w:noWrap/>
            <w:vAlign w:val="center"/>
            <w:hideMark/>
          </w:tcPr>
          <w:p w:rsidR="002240ED" w:rsidRPr="0010072C" w:rsidRDefault="002240ED" w:rsidP="002240ED">
            <w:pPr>
              <w:rPr>
                <w:rFonts w:ascii="Garamond" w:hAnsi="Garamond" w:cs="Calibri"/>
                <w:sz w:val="20"/>
                <w:szCs w:val="20"/>
              </w:rPr>
            </w:pPr>
            <w:r w:rsidRPr="0010072C">
              <w:rPr>
                <w:rFonts w:ascii="Garamond" w:hAnsi="Garamond" w:cs="Calibri"/>
                <w:sz w:val="20"/>
                <w:szCs w:val="20"/>
              </w:rPr>
              <w:t>Athens Stock Exchange</w:t>
            </w:r>
          </w:p>
        </w:tc>
        <w:tc>
          <w:tcPr>
            <w:tcW w:w="1170"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634,254</w:t>
            </w:r>
          </w:p>
        </w:tc>
        <w:tc>
          <w:tcPr>
            <w:tcW w:w="988"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156</w:t>
            </w:r>
          </w:p>
        </w:tc>
        <w:tc>
          <w:tcPr>
            <w:tcW w:w="1054"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388,477</w:t>
            </w:r>
          </w:p>
        </w:tc>
        <w:tc>
          <w:tcPr>
            <w:tcW w:w="1150"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1,422</w:t>
            </w:r>
          </w:p>
        </w:tc>
        <w:tc>
          <w:tcPr>
            <w:tcW w:w="1001"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0</w:t>
            </w:r>
          </w:p>
        </w:tc>
        <w:tc>
          <w:tcPr>
            <w:tcW w:w="1164" w:type="dxa"/>
            <w:tcBorders>
              <w:top w:val="nil"/>
              <w:left w:val="nil"/>
              <w:bottom w:val="nil"/>
              <w:right w:val="single" w:sz="8"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2,529</w:t>
            </w:r>
          </w:p>
        </w:tc>
      </w:tr>
      <w:tr w:rsidR="002240ED" w:rsidRPr="0010072C" w:rsidTr="002240ED">
        <w:trPr>
          <w:trHeight w:val="255"/>
          <w:jc w:val="center"/>
        </w:trPr>
        <w:tc>
          <w:tcPr>
            <w:tcW w:w="3140" w:type="dxa"/>
            <w:tcBorders>
              <w:top w:val="nil"/>
              <w:left w:val="single" w:sz="8" w:space="0" w:color="auto"/>
              <w:bottom w:val="nil"/>
              <w:right w:val="nil"/>
            </w:tcBorders>
            <w:shd w:val="clear" w:color="auto" w:fill="auto"/>
            <w:noWrap/>
            <w:vAlign w:val="center"/>
            <w:hideMark/>
          </w:tcPr>
          <w:p w:rsidR="002240ED" w:rsidRPr="0010072C" w:rsidRDefault="002240ED" w:rsidP="002240ED">
            <w:pPr>
              <w:rPr>
                <w:rFonts w:ascii="Garamond" w:hAnsi="Garamond" w:cs="Calibri"/>
                <w:sz w:val="20"/>
                <w:szCs w:val="20"/>
              </w:rPr>
            </w:pPr>
            <w:r w:rsidRPr="0010072C">
              <w:rPr>
                <w:rFonts w:ascii="Garamond" w:hAnsi="Garamond" w:cs="Calibri"/>
                <w:sz w:val="20"/>
                <w:szCs w:val="20"/>
              </w:rPr>
              <w:t>Borsa Istanbul</w:t>
            </w:r>
          </w:p>
        </w:tc>
        <w:tc>
          <w:tcPr>
            <w:tcW w:w="1170"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13,778,015</w:t>
            </w:r>
          </w:p>
        </w:tc>
        <w:tc>
          <w:tcPr>
            <w:tcW w:w="988"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2,313</w:t>
            </w:r>
          </w:p>
        </w:tc>
        <w:tc>
          <w:tcPr>
            <w:tcW w:w="1054"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1,190,152</w:t>
            </w:r>
          </w:p>
        </w:tc>
        <w:tc>
          <w:tcPr>
            <w:tcW w:w="1150"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331,370</w:t>
            </w:r>
          </w:p>
        </w:tc>
        <w:tc>
          <w:tcPr>
            <w:tcW w:w="1001"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40</w:t>
            </w:r>
          </w:p>
        </w:tc>
        <w:tc>
          <w:tcPr>
            <w:tcW w:w="1164" w:type="dxa"/>
            <w:tcBorders>
              <w:top w:val="nil"/>
              <w:left w:val="nil"/>
              <w:bottom w:val="nil"/>
              <w:right w:val="single" w:sz="8"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554,201</w:t>
            </w:r>
          </w:p>
        </w:tc>
      </w:tr>
      <w:tr w:rsidR="002240ED" w:rsidRPr="0010072C" w:rsidTr="002240ED">
        <w:trPr>
          <w:trHeight w:val="255"/>
          <w:jc w:val="center"/>
        </w:trPr>
        <w:tc>
          <w:tcPr>
            <w:tcW w:w="3140" w:type="dxa"/>
            <w:tcBorders>
              <w:top w:val="nil"/>
              <w:left w:val="single" w:sz="8" w:space="0" w:color="auto"/>
              <w:bottom w:val="nil"/>
              <w:right w:val="nil"/>
            </w:tcBorders>
            <w:shd w:val="clear" w:color="auto" w:fill="auto"/>
            <w:noWrap/>
            <w:vAlign w:val="center"/>
            <w:hideMark/>
          </w:tcPr>
          <w:p w:rsidR="002240ED" w:rsidRPr="0010072C" w:rsidRDefault="002240ED" w:rsidP="002240ED">
            <w:pPr>
              <w:rPr>
                <w:rFonts w:ascii="Garamond" w:hAnsi="Garamond" w:cs="Calibri"/>
                <w:sz w:val="20"/>
                <w:szCs w:val="20"/>
              </w:rPr>
            </w:pPr>
            <w:r w:rsidRPr="0010072C">
              <w:rPr>
                <w:rFonts w:ascii="Garamond" w:hAnsi="Garamond" w:cs="Calibri"/>
                <w:sz w:val="20"/>
                <w:szCs w:val="20"/>
              </w:rPr>
              <w:t>Budapest Stock Exchange</w:t>
            </w:r>
          </w:p>
        </w:tc>
        <w:tc>
          <w:tcPr>
            <w:tcW w:w="1170"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9,231</w:t>
            </w:r>
          </w:p>
        </w:tc>
        <w:tc>
          <w:tcPr>
            <w:tcW w:w="988"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64</w:t>
            </w:r>
          </w:p>
        </w:tc>
        <w:tc>
          <w:tcPr>
            <w:tcW w:w="1054"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7,294</w:t>
            </w:r>
          </w:p>
        </w:tc>
        <w:tc>
          <w:tcPr>
            <w:tcW w:w="1150"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01"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64" w:type="dxa"/>
            <w:tcBorders>
              <w:top w:val="nil"/>
              <w:left w:val="nil"/>
              <w:bottom w:val="nil"/>
              <w:right w:val="single" w:sz="8"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r>
      <w:tr w:rsidR="002240ED" w:rsidRPr="0010072C" w:rsidTr="002240ED">
        <w:trPr>
          <w:trHeight w:val="255"/>
          <w:jc w:val="center"/>
        </w:trPr>
        <w:tc>
          <w:tcPr>
            <w:tcW w:w="3140" w:type="dxa"/>
            <w:tcBorders>
              <w:top w:val="nil"/>
              <w:left w:val="single" w:sz="8" w:space="0" w:color="auto"/>
              <w:bottom w:val="nil"/>
              <w:right w:val="nil"/>
            </w:tcBorders>
            <w:shd w:val="clear" w:color="auto" w:fill="auto"/>
            <w:noWrap/>
            <w:vAlign w:val="center"/>
            <w:hideMark/>
          </w:tcPr>
          <w:p w:rsidR="002240ED" w:rsidRPr="0010072C" w:rsidRDefault="002240ED" w:rsidP="002240ED">
            <w:pPr>
              <w:rPr>
                <w:rFonts w:ascii="Garamond" w:hAnsi="Garamond" w:cs="Calibri"/>
                <w:sz w:val="20"/>
                <w:szCs w:val="20"/>
              </w:rPr>
            </w:pPr>
            <w:r w:rsidRPr="0010072C">
              <w:rPr>
                <w:rFonts w:ascii="Garamond" w:hAnsi="Garamond" w:cs="Calibri"/>
                <w:sz w:val="20"/>
                <w:szCs w:val="20"/>
              </w:rPr>
              <w:t>Dubai Gold and Commodities Exchange</w:t>
            </w:r>
          </w:p>
        </w:tc>
        <w:tc>
          <w:tcPr>
            <w:tcW w:w="1170"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104,164</w:t>
            </w:r>
          </w:p>
        </w:tc>
        <w:tc>
          <w:tcPr>
            <w:tcW w:w="988"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523</w:t>
            </w:r>
          </w:p>
        </w:tc>
        <w:tc>
          <w:tcPr>
            <w:tcW w:w="1150"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01"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64" w:type="dxa"/>
            <w:tcBorders>
              <w:top w:val="nil"/>
              <w:left w:val="nil"/>
              <w:bottom w:val="nil"/>
              <w:right w:val="single" w:sz="8"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r>
      <w:tr w:rsidR="002240ED" w:rsidRPr="0010072C" w:rsidTr="002240ED">
        <w:trPr>
          <w:trHeight w:val="255"/>
          <w:jc w:val="center"/>
        </w:trPr>
        <w:tc>
          <w:tcPr>
            <w:tcW w:w="3140" w:type="dxa"/>
            <w:tcBorders>
              <w:top w:val="nil"/>
              <w:left w:val="single" w:sz="8" w:space="0" w:color="auto"/>
              <w:bottom w:val="nil"/>
              <w:right w:val="nil"/>
            </w:tcBorders>
            <w:shd w:val="clear" w:color="auto" w:fill="auto"/>
            <w:noWrap/>
            <w:vAlign w:val="center"/>
            <w:hideMark/>
          </w:tcPr>
          <w:p w:rsidR="002240ED" w:rsidRPr="0010072C" w:rsidRDefault="002240ED" w:rsidP="002240ED">
            <w:pPr>
              <w:rPr>
                <w:rFonts w:ascii="Garamond" w:hAnsi="Garamond" w:cs="Calibri"/>
                <w:sz w:val="20"/>
                <w:szCs w:val="20"/>
              </w:rPr>
            </w:pPr>
            <w:r w:rsidRPr="0010072C">
              <w:rPr>
                <w:rFonts w:ascii="Garamond" w:hAnsi="Garamond" w:cs="Calibri"/>
                <w:sz w:val="20"/>
                <w:szCs w:val="20"/>
              </w:rPr>
              <w:t>Johannesburg Stock Exchange</w:t>
            </w:r>
          </w:p>
        </w:tc>
        <w:tc>
          <w:tcPr>
            <w:tcW w:w="1170"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50"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01"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64" w:type="dxa"/>
            <w:tcBorders>
              <w:top w:val="nil"/>
              <w:left w:val="nil"/>
              <w:bottom w:val="nil"/>
              <w:right w:val="single" w:sz="8"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r>
      <w:tr w:rsidR="002240ED" w:rsidRPr="0010072C" w:rsidTr="002240ED">
        <w:trPr>
          <w:trHeight w:val="255"/>
          <w:jc w:val="center"/>
        </w:trPr>
        <w:tc>
          <w:tcPr>
            <w:tcW w:w="3140" w:type="dxa"/>
            <w:tcBorders>
              <w:top w:val="nil"/>
              <w:left w:val="single" w:sz="8" w:space="0" w:color="auto"/>
              <w:bottom w:val="nil"/>
              <w:right w:val="nil"/>
            </w:tcBorders>
            <w:shd w:val="clear" w:color="auto" w:fill="auto"/>
            <w:noWrap/>
            <w:vAlign w:val="center"/>
            <w:hideMark/>
          </w:tcPr>
          <w:p w:rsidR="002240ED" w:rsidRPr="0010072C" w:rsidRDefault="002240ED" w:rsidP="002240ED">
            <w:pPr>
              <w:rPr>
                <w:rFonts w:ascii="Garamond" w:hAnsi="Garamond" w:cs="Calibri"/>
                <w:sz w:val="20"/>
                <w:szCs w:val="20"/>
              </w:rPr>
            </w:pPr>
            <w:r w:rsidRPr="0010072C">
              <w:rPr>
                <w:rFonts w:ascii="Garamond" w:hAnsi="Garamond" w:cs="Calibri"/>
                <w:sz w:val="20"/>
                <w:szCs w:val="20"/>
              </w:rPr>
              <w:t>Moscow Exchange</w:t>
            </w:r>
          </w:p>
        </w:tc>
        <w:tc>
          <w:tcPr>
            <w:tcW w:w="1170"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16,478,021</w:t>
            </w:r>
          </w:p>
        </w:tc>
        <w:tc>
          <w:tcPr>
            <w:tcW w:w="988"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5,302</w:t>
            </w:r>
          </w:p>
        </w:tc>
        <w:tc>
          <w:tcPr>
            <w:tcW w:w="1054"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2,072,552</w:t>
            </w:r>
          </w:p>
        </w:tc>
        <w:tc>
          <w:tcPr>
            <w:tcW w:w="1150"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196,535</w:t>
            </w:r>
          </w:p>
        </w:tc>
        <w:tc>
          <w:tcPr>
            <w:tcW w:w="1001"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54</w:t>
            </w:r>
          </w:p>
        </w:tc>
        <w:tc>
          <w:tcPr>
            <w:tcW w:w="1164" w:type="dxa"/>
            <w:tcBorders>
              <w:top w:val="nil"/>
              <w:left w:val="nil"/>
              <w:bottom w:val="nil"/>
              <w:right w:val="single" w:sz="8"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571,840</w:t>
            </w:r>
          </w:p>
        </w:tc>
      </w:tr>
      <w:tr w:rsidR="002240ED" w:rsidRPr="0010072C" w:rsidTr="002240ED">
        <w:trPr>
          <w:trHeight w:val="255"/>
          <w:jc w:val="center"/>
        </w:trPr>
        <w:tc>
          <w:tcPr>
            <w:tcW w:w="3140" w:type="dxa"/>
            <w:tcBorders>
              <w:top w:val="nil"/>
              <w:left w:val="single" w:sz="8" w:space="0" w:color="auto"/>
              <w:bottom w:val="nil"/>
              <w:right w:val="nil"/>
            </w:tcBorders>
            <w:shd w:val="clear" w:color="auto" w:fill="auto"/>
            <w:noWrap/>
            <w:vAlign w:val="center"/>
            <w:hideMark/>
          </w:tcPr>
          <w:p w:rsidR="002240ED" w:rsidRPr="0010072C" w:rsidRDefault="002240ED" w:rsidP="002240ED">
            <w:pPr>
              <w:rPr>
                <w:rFonts w:ascii="Garamond" w:hAnsi="Garamond" w:cs="Calibri"/>
                <w:sz w:val="20"/>
                <w:szCs w:val="20"/>
              </w:rPr>
            </w:pPr>
            <w:r w:rsidRPr="0010072C">
              <w:rPr>
                <w:rFonts w:ascii="Garamond" w:hAnsi="Garamond" w:cs="Calibri"/>
                <w:sz w:val="20"/>
                <w:szCs w:val="20"/>
              </w:rPr>
              <w:t>Tehran Stock Exchange</w:t>
            </w:r>
          </w:p>
        </w:tc>
        <w:tc>
          <w:tcPr>
            <w:tcW w:w="1170"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50"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235,368</w:t>
            </w:r>
          </w:p>
        </w:tc>
        <w:tc>
          <w:tcPr>
            <w:tcW w:w="1001"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w:t>
            </w:r>
          </w:p>
        </w:tc>
        <w:tc>
          <w:tcPr>
            <w:tcW w:w="1164" w:type="dxa"/>
            <w:tcBorders>
              <w:top w:val="nil"/>
              <w:left w:val="nil"/>
              <w:bottom w:val="nil"/>
              <w:right w:val="single" w:sz="8"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r>
      <w:tr w:rsidR="002240ED" w:rsidRPr="0010072C" w:rsidTr="002240ED">
        <w:trPr>
          <w:trHeight w:val="255"/>
          <w:jc w:val="center"/>
        </w:trPr>
        <w:tc>
          <w:tcPr>
            <w:tcW w:w="3140" w:type="dxa"/>
            <w:tcBorders>
              <w:top w:val="nil"/>
              <w:left w:val="single" w:sz="8" w:space="0" w:color="auto"/>
              <w:bottom w:val="nil"/>
              <w:right w:val="nil"/>
            </w:tcBorders>
            <w:shd w:val="clear" w:color="auto" w:fill="auto"/>
            <w:noWrap/>
            <w:vAlign w:val="center"/>
            <w:hideMark/>
          </w:tcPr>
          <w:p w:rsidR="002240ED" w:rsidRPr="0010072C" w:rsidRDefault="002240ED" w:rsidP="002240ED">
            <w:pPr>
              <w:rPr>
                <w:rFonts w:ascii="Garamond" w:hAnsi="Garamond" w:cs="Calibri"/>
                <w:sz w:val="20"/>
                <w:szCs w:val="20"/>
              </w:rPr>
            </w:pPr>
            <w:r w:rsidRPr="0010072C">
              <w:rPr>
                <w:rFonts w:ascii="Garamond" w:hAnsi="Garamond" w:cs="Calibri"/>
                <w:sz w:val="20"/>
                <w:szCs w:val="20"/>
              </w:rPr>
              <w:t>Tel-Aviv Stock Exchange</w:t>
            </w:r>
          </w:p>
        </w:tc>
        <w:tc>
          <w:tcPr>
            <w:tcW w:w="1170"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50" w:type="dxa"/>
            <w:tcBorders>
              <w:top w:val="nil"/>
              <w:left w:val="nil"/>
              <w:bottom w:val="nil"/>
              <w:right w:val="nil"/>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108,800</w:t>
            </w:r>
          </w:p>
        </w:tc>
        <w:tc>
          <w:tcPr>
            <w:tcW w:w="1001" w:type="dxa"/>
            <w:tcBorders>
              <w:top w:val="nil"/>
              <w:left w:val="single" w:sz="4" w:space="0" w:color="auto"/>
              <w:bottom w:val="nil"/>
              <w:right w:val="single" w:sz="4"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764</w:t>
            </w:r>
          </w:p>
        </w:tc>
        <w:tc>
          <w:tcPr>
            <w:tcW w:w="1164" w:type="dxa"/>
            <w:tcBorders>
              <w:top w:val="nil"/>
              <w:left w:val="nil"/>
              <w:bottom w:val="nil"/>
              <w:right w:val="single" w:sz="8" w:space="0" w:color="auto"/>
            </w:tcBorders>
            <w:shd w:val="clear" w:color="auto" w:fill="auto"/>
            <w:noWrap/>
            <w:vAlign w:val="bottom"/>
            <w:hideMark/>
          </w:tcPr>
          <w:p w:rsidR="002240ED" w:rsidRPr="0010072C" w:rsidRDefault="002240ED" w:rsidP="002240ED">
            <w:pPr>
              <w:jc w:val="right"/>
              <w:rPr>
                <w:rFonts w:ascii="Garamond" w:eastAsia="Times New Roman" w:hAnsi="Garamond" w:cs="Calibri"/>
                <w:sz w:val="20"/>
                <w:szCs w:val="20"/>
                <w:lang w:val="en-US"/>
              </w:rPr>
            </w:pPr>
            <w:r w:rsidRPr="0010072C">
              <w:rPr>
                <w:rFonts w:ascii="Garamond" w:eastAsia="Times New Roman" w:hAnsi="Garamond" w:cs="Calibri"/>
                <w:sz w:val="20"/>
                <w:szCs w:val="20"/>
                <w:lang w:val="en-US"/>
              </w:rPr>
              <w:t>63,554</w:t>
            </w:r>
          </w:p>
        </w:tc>
      </w:tr>
      <w:tr w:rsidR="002240ED" w:rsidRPr="0010072C" w:rsidTr="002240ED">
        <w:trPr>
          <w:trHeight w:val="270"/>
          <w:jc w:val="center"/>
        </w:trPr>
        <w:tc>
          <w:tcPr>
            <w:tcW w:w="3140" w:type="dxa"/>
            <w:tcBorders>
              <w:top w:val="single" w:sz="4" w:space="0" w:color="95B3D7"/>
              <w:left w:val="single" w:sz="8" w:space="0" w:color="auto"/>
              <w:bottom w:val="single" w:sz="8" w:space="0" w:color="auto"/>
              <w:right w:val="nil"/>
            </w:tcBorders>
            <w:shd w:val="clear" w:color="DBE5F1" w:fill="B8CCE4"/>
            <w:noWrap/>
            <w:vAlign w:val="center"/>
            <w:hideMark/>
          </w:tcPr>
          <w:p w:rsidR="002240ED" w:rsidRPr="0010072C" w:rsidRDefault="002240ED" w:rsidP="002240ED">
            <w:pPr>
              <w:rPr>
                <w:rFonts w:ascii="Garamond" w:hAnsi="Garamond" w:cs="Calibri"/>
                <w:b/>
                <w:bCs/>
                <w:sz w:val="20"/>
                <w:szCs w:val="20"/>
              </w:rPr>
            </w:pPr>
            <w:r w:rsidRPr="0010072C">
              <w:rPr>
                <w:rFonts w:ascii="Garamond" w:hAnsi="Garamond" w:cs="Calibri"/>
                <w:b/>
                <w:bCs/>
                <w:sz w:val="20"/>
                <w:szCs w:val="20"/>
              </w:rPr>
              <w:t>Grand Total</w:t>
            </w:r>
          </w:p>
        </w:tc>
        <w:tc>
          <w:tcPr>
            <w:tcW w:w="1170" w:type="dxa"/>
            <w:tcBorders>
              <w:top w:val="single" w:sz="4" w:space="0" w:color="95B3D7"/>
              <w:left w:val="single" w:sz="4" w:space="0" w:color="auto"/>
              <w:bottom w:val="single" w:sz="8" w:space="0" w:color="auto"/>
              <w:right w:val="single" w:sz="4" w:space="0" w:color="auto"/>
            </w:tcBorders>
            <w:shd w:val="clear" w:color="DBE5F1"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123,741,060</w:t>
            </w:r>
          </w:p>
        </w:tc>
        <w:tc>
          <w:tcPr>
            <w:tcW w:w="988" w:type="dxa"/>
            <w:tcBorders>
              <w:top w:val="single" w:sz="4" w:space="0" w:color="95B3D7"/>
              <w:left w:val="nil"/>
              <w:bottom w:val="single" w:sz="8" w:space="0" w:color="auto"/>
              <w:right w:val="nil"/>
            </w:tcBorders>
            <w:shd w:val="clear" w:color="DBE5F1"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364,791</w:t>
            </w:r>
          </w:p>
        </w:tc>
        <w:tc>
          <w:tcPr>
            <w:tcW w:w="1054" w:type="dxa"/>
            <w:tcBorders>
              <w:top w:val="single" w:sz="4" w:space="0" w:color="95B3D7"/>
              <w:left w:val="single" w:sz="4" w:space="0" w:color="auto"/>
              <w:bottom w:val="single" w:sz="8" w:space="0" w:color="auto"/>
              <w:right w:val="single" w:sz="4" w:space="0" w:color="auto"/>
            </w:tcBorders>
            <w:shd w:val="clear" w:color="DBE5F1"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25,112,470</w:t>
            </w:r>
          </w:p>
        </w:tc>
        <w:tc>
          <w:tcPr>
            <w:tcW w:w="1150" w:type="dxa"/>
            <w:tcBorders>
              <w:top w:val="single" w:sz="4" w:space="0" w:color="95B3D7"/>
              <w:left w:val="nil"/>
              <w:bottom w:val="single" w:sz="8" w:space="0" w:color="auto"/>
              <w:right w:val="nil"/>
            </w:tcBorders>
            <w:shd w:val="clear" w:color="DBE5F1"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303,493,118</w:t>
            </w:r>
          </w:p>
        </w:tc>
        <w:tc>
          <w:tcPr>
            <w:tcW w:w="1001" w:type="dxa"/>
            <w:tcBorders>
              <w:top w:val="single" w:sz="4" w:space="0" w:color="95B3D7"/>
              <w:left w:val="single" w:sz="4" w:space="0" w:color="auto"/>
              <w:bottom w:val="single" w:sz="8" w:space="0" w:color="auto"/>
              <w:right w:val="single" w:sz="4" w:space="0" w:color="auto"/>
            </w:tcBorders>
            <w:shd w:val="clear" w:color="DBE5F1"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700,453</w:t>
            </w:r>
          </w:p>
        </w:tc>
        <w:tc>
          <w:tcPr>
            <w:tcW w:w="1164" w:type="dxa"/>
            <w:tcBorders>
              <w:top w:val="single" w:sz="4" w:space="0" w:color="95B3D7"/>
              <w:left w:val="nil"/>
              <w:bottom w:val="single" w:sz="8" w:space="0" w:color="auto"/>
              <w:right w:val="single" w:sz="8" w:space="0" w:color="auto"/>
            </w:tcBorders>
            <w:shd w:val="clear" w:color="DBE5F1" w:fill="B8CCE4"/>
            <w:noWrap/>
            <w:vAlign w:val="bottom"/>
            <w:hideMark/>
          </w:tcPr>
          <w:p w:rsidR="002240ED" w:rsidRPr="0010072C" w:rsidRDefault="002240ED" w:rsidP="002240ED">
            <w:pPr>
              <w:jc w:val="right"/>
              <w:rPr>
                <w:rFonts w:ascii="Garamond" w:eastAsia="Times New Roman" w:hAnsi="Garamond" w:cs="Calibri"/>
                <w:b/>
                <w:bCs/>
                <w:sz w:val="20"/>
                <w:szCs w:val="20"/>
                <w:lang w:val="en-US"/>
              </w:rPr>
            </w:pPr>
            <w:r w:rsidRPr="0010072C">
              <w:rPr>
                <w:rFonts w:ascii="Garamond" w:eastAsia="Times New Roman" w:hAnsi="Garamond" w:cs="Calibri"/>
                <w:b/>
                <w:bCs/>
                <w:sz w:val="20"/>
                <w:szCs w:val="20"/>
                <w:lang w:val="en-US"/>
              </w:rPr>
              <w:t>319,166,604</w:t>
            </w:r>
          </w:p>
        </w:tc>
      </w:tr>
    </w:tbl>
    <w:p w:rsidR="002240ED" w:rsidRPr="00010E98" w:rsidRDefault="002240ED" w:rsidP="002240ED">
      <w:pPr>
        <w:tabs>
          <w:tab w:val="left" w:pos="3306"/>
          <w:tab w:val="left" w:pos="4629"/>
          <w:tab w:val="left" w:pos="5685"/>
          <w:tab w:val="left" w:pos="6835"/>
          <w:tab w:val="left" w:pos="7999"/>
          <w:tab w:val="left" w:pos="9070"/>
        </w:tabs>
        <w:ind w:left="91"/>
        <w:rPr>
          <w:rFonts w:ascii="Garamond" w:eastAsia="Times New Roman" w:hAnsi="Garamond" w:cs="Calibri"/>
          <w:sz w:val="20"/>
          <w:szCs w:val="20"/>
          <w:lang w:val="en-US"/>
        </w:rPr>
      </w:pPr>
      <w:r w:rsidRPr="00010E98">
        <w:rPr>
          <w:rFonts w:ascii="Garamond" w:eastAsia="Times New Roman" w:hAnsi="Garamond" w:cs="Calibri"/>
          <w:sz w:val="20"/>
          <w:szCs w:val="20"/>
          <w:lang w:val="en-US"/>
        </w:rPr>
        <w:tab/>
      </w:r>
      <w:r w:rsidRPr="00010E98">
        <w:rPr>
          <w:rFonts w:ascii="Garamond" w:eastAsia="Times New Roman" w:hAnsi="Garamond" w:cs="Calibri"/>
          <w:sz w:val="20"/>
          <w:szCs w:val="20"/>
          <w:lang w:val="en-US"/>
        </w:rPr>
        <w:tab/>
      </w:r>
      <w:r w:rsidRPr="00010E98">
        <w:rPr>
          <w:rFonts w:ascii="Garamond" w:eastAsia="Times New Roman" w:hAnsi="Garamond" w:cs="Calibri"/>
          <w:sz w:val="20"/>
          <w:szCs w:val="20"/>
          <w:lang w:val="en-US"/>
        </w:rPr>
        <w:tab/>
      </w:r>
      <w:r w:rsidRPr="00010E98">
        <w:rPr>
          <w:rFonts w:ascii="Garamond" w:eastAsia="Times New Roman" w:hAnsi="Garamond" w:cs="Calibri"/>
          <w:sz w:val="20"/>
          <w:szCs w:val="20"/>
          <w:lang w:val="en-US"/>
        </w:rPr>
        <w:tab/>
      </w:r>
      <w:r w:rsidRPr="00010E98">
        <w:rPr>
          <w:rFonts w:ascii="Garamond" w:eastAsia="Times New Roman" w:hAnsi="Garamond" w:cs="Calibri"/>
          <w:sz w:val="20"/>
          <w:szCs w:val="20"/>
          <w:lang w:val="en-US"/>
        </w:rPr>
        <w:tab/>
      </w:r>
      <w:r w:rsidRPr="00010E98">
        <w:rPr>
          <w:rFonts w:ascii="Garamond" w:eastAsia="Times New Roman" w:hAnsi="Garamond" w:cs="Calibri"/>
          <w:sz w:val="20"/>
          <w:szCs w:val="20"/>
          <w:lang w:val="en-US"/>
        </w:rPr>
        <w:tab/>
      </w:r>
    </w:p>
    <w:p w:rsidR="002240ED" w:rsidRPr="00010E98" w:rsidRDefault="002240ED" w:rsidP="002240ED">
      <w:pPr>
        <w:jc w:val="both"/>
        <w:rPr>
          <w:rFonts w:ascii="Garamond" w:hAnsi="Garamond"/>
          <w:sz w:val="18"/>
        </w:rPr>
      </w:pPr>
      <w:r w:rsidRPr="00010E98">
        <w:rPr>
          <w:rFonts w:ascii="Garamond" w:hAnsi="Garamond"/>
          <w:sz w:val="18"/>
        </w:rPr>
        <w:t>NA: Not Available</w:t>
      </w:r>
    </w:p>
    <w:p w:rsidR="002240ED" w:rsidRDefault="002240ED" w:rsidP="002240ED">
      <w:pPr>
        <w:jc w:val="both"/>
        <w:outlineLvl w:val="0"/>
        <w:rPr>
          <w:rFonts w:ascii="Garamond" w:hAnsi="Garamond"/>
          <w:b/>
          <w:sz w:val="18"/>
        </w:rPr>
      </w:pPr>
      <w:r w:rsidRPr="00010E98">
        <w:rPr>
          <w:rFonts w:ascii="Garamond" w:hAnsi="Garamond"/>
          <w:b/>
          <w:sz w:val="18"/>
        </w:rPr>
        <w:t>Source: World Federation of Exchanges</w:t>
      </w:r>
    </w:p>
    <w:p w:rsidR="002240ED" w:rsidRDefault="002240ED" w:rsidP="002240ED">
      <w:pPr>
        <w:jc w:val="both"/>
        <w:outlineLvl w:val="0"/>
        <w:rPr>
          <w:rFonts w:ascii="Garamond" w:hAnsi="Garamond"/>
          <w:b/>
          <w:sz w:val="18"/>
        </w:rPr>
      </w:pPr>
    </w:p>
    <w:p w:rsidR="002240ED" w:rsidRDefault="002240ED" w:rsidP="002240ED">
      <w:pPr>
        <w:jc w:val="both"/>
        <w:outlineLvl w:val="0"/>
        <w:rPr>
          <w:rFonts w:ascii="Garamond" w:hAnsi="Garamond"/>
          <w:b/>
          <w:sz w:val="18"/>
        </w:rPr>
      </w:pPr>
    </w:p>
    <w:p w:rsidR="002240ED" w:rsidRDefault="002240ED" w:rsidP="002240ED">
      <w:pPr>
        <w:jc w:val="both"/>
        <w:outlineLvl w:val="0"/>
        <w:rPr>
          <w:rFonts w:ascii="Garamond" w:hAnsi="Garamond"/>
          <w:b/>
          <w:sz w:val="18"/>
        </w:rPr>
      </w:pPr>
    </w:p>
    <w:p w:rsidR="002240ED" w:rsidRPr="00010E98" w:rsidRDefault="002240ED" w:rsidP="002240ED">
      <w:pPr>
        <w:jc w:val="both"/>
        <w:outlineLvl w:val="0"/>
        <w:rPr>
          <w:rFonts w:ascii="Garamond" w:hAnsi="Garamond"/>
          <w:b/>
          <w:sz w:val="18"/>
        </w:rPr>
      </w:pPr>
    </w:p>
    <w:p w:rsidR="002240ED" w:rsidRPr="00842D76" w:rsidRDefault="002240ED" w:rsidP="002240ED">
      <w:pPr>
        <w:tabs>
          <w:tab w:val="left" w:pos="3306"/>
          <w:tab w:val="left" w:pos="4629"/>
          <w:tab w:val="left" w:pos="5685"/>
          <w:tab w:val="left" w:pos="6835"/>
          <w:tab w:val="left" w:pos="7999"/>
          <w:tab w:val="left" w:pos="9070"/>
        </w:tabs>
        <w:ind w:left="91"/>
        <w:rPr>
          <w:rFonts w:ascii="Garamond" w:eastAsia="Times New Roman" w:hAnsi="Garamond" w:cs="Calibri"/>
          <w:color w:val="0070C0"/>
          <w:sz w:val="20"/>
          <w:szCs w:val="20"/>
          <w:lang w:val="en-US"/>
        </w:rPr>
      </w:pPr>
      <w:r w:rsidRPr="00842D76">
        <w:rPr>
          <w:rFonts w:ascii="Garamond" w:eastAsia="Times New Roman" w:hAnsi="Garamond" w:cs="Calibri"/>
          <w:color w:val="0070C0"/>
          <w:sz w:val="20"/>
          <w:szCs w:val="20"/>
          <w:lang w:val="en-US"/>
        </w:rPr>
        <w:tab/>
      </w:r>
    </w:p>
    <w:tbl>
      <w:tblPr>
        <w:tblW w:w="10018" w:type="dxa"/>
        <w:jc w:val="center"/>
        <w:tblLook w:val="04A0" w:firstRow="1" w:lastRow="0" w:firstColumn="1" w:lastColumn="0" w:noHBand="0" w:noVBand="1"/>
      </w:tblPr>
      <w:tblGrid>
        <w:gridCol w:w="3215"/>
        <w:gridCol w:w="1323"/>
        <w:gridCol w:w="1056"/>
        <w:gridCol w:w="1074"/>
        <w:gridCol w:w="1164"/>
        <w:gridCol w:w="1056"/>
        <w:gridCol w:w="1150"/>
      </w:tblGrid>
      <w:tr w:rsidR="002240ED" w:rsidRPr="00455181" w:rsidTr="002240ED">
        <w:trPr>
          <w:trHeight w:val="330"/>
          <w:jc w:val="center"/>
        </w:trPr>
        <w:tc>
          <w:tcPr>
            <w:tcW w:w="10018" w:type="dxa"/>
            <w:gridSpan w:val="7"/>
            <w:tcBorders>
              <w:bottom w:val="single" w:sz="4" w:space="0" w:color="auto"/>
            </w:tcBorders>
            <w:shd w:val="clear" w:color="auto" w:fill="auto"/>
            <w:noWrap/>
            <w:vAlign w:val="bottom"/>
            <w:hideMark/>
          </w:tcPr>
          <w:p w:rsidR="002240ED" w:rsidRPr="00455181" w:rsidRDefault="002240ED" w:rsidP="002240ED">
            <w:pPr>
              <w:jc w:val="center"/>
              <w:rPr>
                <w:rFonts w:ascii="Garamond" w:eastAsia="Times New Roman" w:hAnsi="Garamond" w:cs="Calibri"/>
                <w:b/>
                <w:bCs/>
                <w:sz w:val="20"/>
                <w:szCs w:val="20"/>
                <w:lang w:val="en-US"/>
              </w:rPr>
            </w:pPr>
            <w:r w:rsidRPr="00842D76">
              <w:rPr>
                <w:rFonts w:ascii="Garamond" w:eastAsia="Times New Roman" w:hAnsi="Garamond" w:cs="Calibri"/>
                <w:color w:val="0070C0"/>
                <w:sz w:val="20"/>
                <w:szCs w:val="20"/>
                <w:lang w:val="en-US"/>
              </w:rPr>
              <w:br w:type="page"/>
            </w:r>
            <w:r w:rsidRPr="00455181">
              <w:rPr>
                <w:rFonts w:ascii="Garamond" w:eastAsia="Times New Roman" w:hAnsi="Garamond" w:cs="Calibri"/>
                <w:b/>
                <w:bCs/>
                <w:sz w:val="20"/>
                <w:szCs w:val="20"/>
                <w:lang w:val="en-US"/>
              </w:rPr>
              <w:t>Table A6: Index  Futures and Index Options Traded in Major Exchanges</w:t>
            </w:r>
          </w:p>
        </w:tc>
      </w:tr>
      <w:tr w:rsidR="002240ED" w:rsidRPr="00455181" w:rsidTr="002240ED">
        <w:trPr>
          <w:trHeight w:val="270"/>
          <w:jc w:val="center"/>
        </w:trPr>
        <w:tc>
          <w:tcPr>
            <w:tcW w:w="3215" w:type="dxa"/>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rsidR="002240ED" w:rsidRPr="00455181" w:rsidRDefault="002240ED" w:rsidP="002240ED">
            <w:pPr>
              <w:jc w:val="center"/>
              <w:rPr>
                <w:rFonts w:ascii="Garamond" w:eastAsia="Times New Roman" w:hAnsi="Garamond" w:cs="Calibri"/>
                <w:b/>
                <w:bCs/>
                <w:sz w:val="20"/>
                <w:szCs w:val="20"/>
                <w:lang w:val="en-US"/>
              </w:rPr>
            </w:pPr>
            <w:r w:rsidRPr="00455181">
              <w:rPr>
                <w:rFonts w:ascii="Garamond" w:eastAsia="Times New Roman" w:hAnsi="Garamond" w:cs="Calibri"/>
                <w:b/>
                <w:bCs/>
                <w:sz w:val="20"/>
                <w:szCs w:val="20"/>
                <w:lang w:val="en-US"/>
              </w:rPr>
              <w:t>Exchange</w:t>
            </w:r>
          </w:p>
        </w:tc>
        <w:tc>
          <w:tcPr>
            <w:tcW w:w="6803" w:type="dxa"/>
            <w:gridSpan w:val="6"/>
            <w:tcBorders>
              <w:top w:val="single" w:sz="4" w:space="0" w:color="auto"/>
              <w:left w:val="nil"/>
              <w:bottom w:val="single" w:sz="8" w:space="0" w:color="auto"/>
              <w:right w:val="single" w:sz="8" w:space="0" w:color="000000"/>
            </w:tcBorders>
            <w:shd w:val="clear" w:color="000000" w:fill="B8CCE4"/>
            <w:vAlign w:val="bottom"/>
            <w:hideMark/>
          </w:tcPr>
          <w:p w:rsidR="002240ED" w:rsidRPr="00455181" w:rsidRDefault="002240ED" w:rsidP="002240ED">
            <w:pPr>
              <w:jc w:val="center"/>
              <w:rPr>
                <w:rFonts w:ascii="Garamond" w:eastAsia="Times New Roman" w:hAnsi="Garamond" w:cs="Calibri"/>
                <w:b/>
                <w:bCs/>
                <w:sz w:val="18"/>
                <w:szCs w:val="18"/>
                <w:lang w:val="en-US"/>
              </w:rPr>
            </w:pPr>
            <w:r w:rsidRPr="00455181">
              <w:rPr>
                <w:rFonts w:ascii="Garamond" w:eastAsia="Times New Roman" w:hAnsi="Garamond" w:cs="Calibri"/>
                <w:b/>
                <w:bCs/>
                <w:sz w:val="18"/>
                <w:szCs w:val="18"/>
                <w:lang w:val="en-US"/>
              </w:rPr>
              <w:t>Aug-19</w:t>
            </w:r>
          </w:p>
        </w:tc>
      </w:tr>
      <w:tr w:rsidR="002240ED" w:rsidRPr="00455181" w:rsidTr="002240ED">
        <w:trPr>
          <w:trHeight w:val="315"/>
          <w:jc w:val="center"/>
        </w:trPr>
        <w:tc>
          <w:tcPr>
            <w:tcW w:w="3215" w:type="dxa"/>
            <w:vMerge/>
            <w:tcBorders>
              <w:top w:val="nil"/>
              <w:left w:val="single" w:sz="8" w:space="0" w:color="auto"/>
              <w:bottom w:val="single" w:sz="8" w:space="0" w:color="000000"/>
              <w:right w:val="single" w:sz="8" w:space="0" w:color="auto"/>
            </w:tcBorders>
            <w:vAlign w:val="center"/>
            <w:hideMark/>
          </w:tcPr>
          <w:p w:rsidR="002240ED" w:rsidRPr="00455181" w:rsidRDefault="002240ED" w:rsidP="002240ED">
            <w:pPr>
              <w:rPr>
                <w:rFonts w:ascii="Garamond" w:eastAsia="Times New Roman" w:hAnsi="Garamond" w:cs="Calibri"/>
                <w:b/>
                <w:bCs/>
                <w:sz w:val="20"/>
                <w:szCs w:val="20"/>
                <w:lang w:val="en-US"/>
              </w:rPr>
            </w:pPr>
          </w:p>
        </w:tc>
        <w:tc>
          <w:tcPr>
            <w:tcW w:w="3451" w:type="dxa"/>
            <w:gridSpan w:val="3"/>
            <w:tcBorders>
              <w:top w:val="single" w:sz="8" w:space="0" w:color="auto"/>
              <w:left w:val="nil"/>
              <w:bottom w:val="single" w:sz="8" w:space="0" w:color="auto"/>
              <w:right w:val="single" w:sz="8" w:space="0" w:color="000000"/>
            </w:tcBorders>
            <w:shd w:val="clear" w:color="000000" w:fill="B8CCE4"/>
            <w:vAlign w:val="center"/>
            <w:hideMark/>
          </w:tcPr>
          <w:p w:rsidR="002240ED" w:rsidRPr="00455181" w:rsidRDefault="002240ED" w:rsidP="002240ED">
            <w:pPr>
              <w:jc w:val="center"/>
              <w:rPr>
                <w:rFonts w:ascii="Garamond" w:eastAsia="Times New Roman" w:hAnsi="Garamond" w:cs="Calibri"/>
                <w:b/>
                <w:bCs/>
                <w:sz w:val="20"/>
                <w:szCs w:val="20"/>
                <w:lang w:val="en-US"/>
              </w:rPr>
            </w:pPr>
            <w:r w:rsidRPr="00455181">
              <w:rPr>
                <w:rFonts w:ascii="Garamond" w:eastAsia="Times New Roman" w:hAnsi="Garamond" w:cs="Calibri"/>
                <w:b/>
                <w:bCs/>
                <w:sz w:val="20"/>
                <w:szCs w:val="20"/>
                <w:lang w:val="en-US"/>
              </w:rPr>
              <w:t xml:space="preserve"> Stock Index Futures </w:t>
            </w:r>
          </w:p>
        </w:tc>
        <w:tc>
          <w:tcPr>
            <w:tcW w:w="3352" w:type="dxa"/>
            <w:gridSpan w:val="3"/>
            <w:tcBorders>
              <w:top w:val="single" w:sz="8" w:space="0" w:color="auto"/>
              <w:left w:val="nil"/>
              <w:bottom w:val="single" w:sz="8" w:space="0" w:color="auto"/>
              <w:right w:val="single" w:sz="8" w:space="0" w:color="000000"/>
            </w:tcBorders>
            <w:shd w:val="clear" w:color="000000" w:fill="B8CCE4"/>
            <w:vAlign w:val="center"/>
            <w:hideMark/>
          </w:tcPr>
          <w:p w:rsidR="002240ED" w:rsidRPr="00455181" w:rsidRDefault="002240ED" w:rsidP="002240ED">
            <w:pPr>
              <w:jc w:val="center"/>
              <w:rPr>
                <w:rFonts w:ascii="Garamond" w:eastAsia="Times New Roman" w:hAnsi="Garamond" w:cs="Calibri"/>
                <w:b/>
                <w:bCs/>
                <w:sz w:val="20"/>
                <w:szCs w:val="20"/>
                <w:lang w:val="en-US"/>
              </w:rPr>
            </w:pPr>
            <w:r w:rsidRPr="00455181">
              <w:rPr>
                <w:rFonts w:ascii="Garamond" w:eastAsia="Times New Roman" w:hAnsi="Garamond" w:cs="Calibri"/>
                <w:b/>
                <w:bCs/>
                <w:sz w:val="20"/>
                <w:szCs w:val="20"/>
                <w:lang w:val="en-US"/>
              </w:rPr>
              <w:t xml:space="preserve"> Stock Index Options </w:t>
            </w:r>
          </w:p>
        </w:tc>
      </w:tr>
      <w:tr w:rsidR="002240ED" w:rsidRPr="00455181" w:rsidTr="002240ED">
        <w:trPr>
          <w:trHeight w:val="795"/>
          <w:jc w:val="center"/>
        </w:trPr>
        <w:tc>
          <w:tcPr>
            <w:tcW w:w="3215" w:type="dxa"/>
            <w:vMerge/>
            <w:tcBorders>
              <w:top w:val="nil"/>
              <w:left w:val="single" w:sz="8" w:space="0" w:color="auto"/>
              <w:bottom w:val="single" w:sz="8" w:space="0" w:color="000000"/>
              <w:right w:val="single" w:sz="8" w:space="0" w:color="auto"/>
            </w:tcBorders>
            <w:vAlign w:val="center"/>
            <w:hideMark/>
          </w:tcPr>
          <w:p w:rsidR="002240ED" w:rsidRPr="00455181" w:rsidRDefault="002240ED" w:rsidP="002240ED">
            <w:pPr>
              <w:rPr>
                <w:rFonts w:ascii="Garamond" w:eastAsia="Times New Roman" w:hAnsi="Garamond" w:cs="Calibri"/>
                <w:b/>
                <w:bCs/>
                <w:sz w:val="20"/>
                <w:szCs w:val="20"/>
                <w:lang w:val="en-US"/>
              </w:rPr>
            </w:pPr>
          </w:p>
        </w:tc>
        <w:tc>
          <w:tcPr>
            <w:tcW w:w="1323"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eastAsia="Times New Roman" w:hAnsi="Garamond" w:cs="Calibri"/>
                <w:b/>
                <w:bCs/>
                <w:sz w:val="20"/>
                <w:szCs w:val="20"/>
                <w:lang w:bidi="hi-IN"/>
              </w:rPr>
            </w:pPr>
            <w:r w:rsidRPr="0010072C">
              <w:rPr>
                <w:rFonts w:ascii="Garamond" w:hAnsi="Garamond" w:cs="Calibri"/>
                <w:b/>
                <w:bCs/>
                <w:sz w:val="20"/>
                <w:szCs w:val="20"/>
              </w:rPr>
              <w:t>Number of Contracts Traded</w:t>
            </w:r>
          </w:p>
        </w:tc>
        <w:tc>
          <w:tcPr>
            <w:tcW w:w="1054"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Notional Value</w:t>
            </w:r>
          </w:p>
        </w:tc>
        <w:tc>
          <w:tcPr>
            <w:tcW w:w="1074"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Open Interest</w:t>
            </w:r>
          </w:p>
        </w:tc>
        <w:tc>
          <w:tcPr>
            <w:tcW w:w="1150"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Number of Contracts Traded</w:t>
            </w:r>
          </w:p>
        </w:tc>
        <w:tc>
          <w:tcPr>
            <w:tcW w:w="1054"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Notional Value</w:t>
            </w:r>
          </w:p>
        </w:tc>
        <w:tc>
          <w:tcPr>
            <w:tcW w:w="1148"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Open Interest</w:t>
            </w:r>
          </w:p>
        </w:tc>
      </w:tr>
      <w:tr w:rsidR="002240ED" w:rsidRPr="00BF34B8" w:rsidTr="002240ED">
        <w:trPr>
          <w:trHeight w:val="255"/>
          <w:jc w:val="center"/>
        </w:trPr>
        <w:tc>
          <w:tcPr>
            <w:tcW w:w="3215" w:type="dxa"/>
            <w:tcBorders>
              <w:top w:val="nil"/>
              <w:left w:val="single" w:sz="8" w:space="0" w:color="auto"/>
              <w:bottom w:val="nil"/>
              <w:right w:val="nil"/>
            </w:tcBorders>
            <w:shd w:val="clear" w:color="000000" w:fill="B8CCE4"/>
            <w:noWrap/>
          </w:tcPr>
          <w:p w:rsidR="002240ED" w:rsidRPr="00BF34B8" w:rsidRDefault="002240ED" w:rsidP="002240ED">
            <w:pPr>
              <w:rPr>
                <w:b/>
                <w:bCs/>
              </w:rPr>
            </w:pPr>
            <w:r w:rsidRPr="00BF34B8">
              <w:rPr>
                <w:rFonts w:ascii="Garamond" w:hAnsi="Garamond" w:cs="Calibri"/>
                <w:b/>
                <w:bCs/>
                <w:sz w:val="20"/>
                <w:szCs w:val="20"/>
              </w:rPr>
              <w:t>Americas</w:t>
            </w:r>
          </w:p>
        </w:tc>
        <w:tc>
          <w:tcPr>
            <w:tcW w:w="1323" w:type="dxa"/>
            <w:tcBorders>
              <w:top w:val="nil"/>
              <w:left w:val="single" w:sz="4" w:space="0" w:color="auto"/>
              <w:bottom w:val="nil"/>
              <w:right w:val="single" w:sz="4" w:space="0" w:color="auto"/>
            </w:tcBorders>
            <w:shd w:val="clear" w:color="000000"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277,821,617</w:t>
            </w:r>
          </w:p>
        </w:tc>
        <w:tc>
          <w:tcPr>
            <w:tcW w:w="1054" w:type="dxa"/>
            <w:tcBorders>
              <w:top w:val="nil"/>
              <w:left w:val="nil"/>
              <w:bottom w:val="nil"/>
              <w:right w:val="nil"/>
            </w:tcBorders>
            <w:shd w:val="clear" w:color="000000"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11,229,413</w:t>
            </w:r>
          </w:p>
        </w:tc>
        <w:tc>
          <w:tcPr>
            <w:tcW w:w="1074" w:type="dxa"/>
            <w:tcBorders>
              <w:top w:val="nil"/>
              <w:left w:val="single" w:sz="4" w:space="0" w:color="auto"/>
              <w:bottom w:val="nil"/>
              <w:right w:val="single" w:sz="4" w:space="0" w:color="auto"/>
            </w:tcBorders>
            <w:shd w:val="clear" w:color="000000"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7,446,206</w:t>
            </w:r>
          </w:p>
        </w:tc>
        <w:tc>
          <w:tcPr>
            <w:tcW w:w="1150" w:type="dxa"/>
            <w:tcBorders>
              <w:top w:val="nil"/>
              <w:left w:val="nil"/>
              <w:bottom w:val="nil"/>
              <w:right w:val="single" w:sz="4" w:space="0" w:color="auto"/>
            </w:tcBorders>
            <w:shd w:val="clear" w:color="000000"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76,758,481</w:t>
            </w:r>
          </w:p>
        </w:tc>
        <w:tc>
          <w:tcPr>
            <w:tcW w:w="1054" w:type="dxa"/>
            <w:tcBorders>
              <w:top w:val="nil"/>
              <w:left w:val="nil"/>
              <w:bottom w:val="nil"/>
              <w:right w:val="single" w:sz="4" w:space="0" w:color="auto"/>
            </w:tcBorders>
            <w:shd w:val="clear" w:color="000000"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3,444,501</w:t>
            </w:r>
          </w:p>
        </w:tc>
        <w:tc>
          <w:tcPr>
            <w:tcW w:w="1148" w:type="dxa"/>
            <w:tcBorders>
              <w:top w:val="nil"/>
              <w:left w:val="nil"/>
              <w:bottom w:val="nil"/>
              <w:right w:val="single" w:sz="8" w:space="0" w:color="auto"/>
            </w:tcBorders>
            <w:shd w:val="clear" w:color="000000"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34,898,288</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B3 - Brasil Bolsa Balcão</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176,459,207</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945,476</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881,004</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5,655,178</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40,244</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465,666</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Bolsa de Valores de Colombia</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1,177</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5</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415</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Bolsa Mexicana de Valores</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Cboe Futures Exchange</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7,936,967</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353,349</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Cboe Global Markets</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50,105,980</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29,445,572</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CME Group</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88,494,231</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10,082,654</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4,258,569</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20,703,844</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3,404,161</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4,911,087</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ICE Futures US</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4,197,318</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201,278</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1,635,128</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r>
      <w:tr w:rsidR="002240ED" w:rsidRPr="00BF34B8" w:rsidTr="002240ED">
        <w:trPr>
          <w:trHeight w:val="255"/>
          <w:jc w:val="center"/>
        </w:trPr>
        <w:tc>
          <w:tcPr>
            <w:tcW w:w="3215" w:type="dxa"/>
            <w:tcBorders>
              <w:top w:val="nil"/>
              <w:left w:val="single" w:sz="8" w:space="0" w:color="auto"/>
              <w:bottom w:val="nil"/>
              <w:right w:val="nil"/>
            </w:tcBorders>
            <w:shd w:val="clear" w:color="000000" w:fill="B8CCE4"/>
            <w:noWrap/>
          </w:tcPr>
          <w:p w:rsidR="002240ED" w:rsidRPr="00BF34B8" w:rsidRDefault="002240ED" w:rsidP="002240ED">
            <w:pPr>
              <w:rPr>
                <w:rFonts w:ascii="Garamond" w:hAnsi="Garamond" w:cs="Calibri"/>
                <w:b/>
                <w:bCs/>
                <w:sz w:val="20"/>
                <w:szCs w:val="20"/>
              </w:rPr>
            </w:pPr>
            <w:r w:rsidRPr="00BF34B8">
              <w:rPr>
                <w:rFonts w:ascii="Garamond" w:hAnsi="Garamond" w:cs="Calibri"/>
                <w:b/>
                <w:bCs/>
                <w:sz w:val="20"/>
                <w:szCs w:val="20"/>
              </w:rPr>
              <w:t>Asia - Pacific</w:t>
            </w:r>
          </w:p>
        </w:tc>
        <w:tc>
          <w:tcPr>
            <w:tcW w:w="1323" w:type="dxa"/>
            <w:tcBorders>
              <w:top w:val="nil"/>
              <w:left w:val="single" w:sz="4" w:space="0" w:color="auto"/>
              <w:bottom w:val="nil"/>
              <w:right w:val="single" w:sz="4" w:space="0" w:color="auto"/>
            </w:tcBorders>
            <w:shd w:val="clear" w:color="000000"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96,483,945</w:t>
            </w:r>
          </w:p>
        </w:tc>
        <w:tc>
          <w:tcPr>
            <w:tcW w:w="1054" w:type="dxa"/>
            <w:tcBorders>
              <w:top w:val="nil"/>
              <w:left w:val="nil"/>
              <w:bottom w:val="nil"/>
              <w:right w:val="nil"/>
            </w:tcBorders>
            <w:shd w:val="clear" w:color="000000"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3,853,078</w:t>
            </w:r>
          </w:p>
        </w:tc>
        <w:tc>
          <w:tcPr>
            <w:tcW w:w="1074" w:type="dxa"/>
            <w:tcBorders>
              <w:top w:val="nil"/>
              <w:left w:val="single" w:sz="4" w:space="0" w:color="auto"/>
              <w:bottom w:val="nil"/>
              <w:right w:val="single" w:sz="4" w:space="0" w:color="auto"/>
            </w:tcBorders>
            <w:shd w:val="clear" w:color="000000"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7,157,472</w:t>
            </w:r>
          </w:p>
        </w:tc>
        <w:tc>
          <w:tcPr>
            <w:tcW w:w="1150" w:type="dxa"/>
            <w:tcBorders>
              <w:top w:val="nil"/>
              <w:left w:val="nil"/>
              <w:bottom w:val="nil"/>
              <w:right w:val="single" w:sz="4" w:space="0" w:color="auto"/>
            </w:tcBorders>
            <w:shd w:val="clear" w:color="000000"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513,849,564</w:t>
            </w:r>
          </w:p>
        </w:tc>
        <w:tc>
          <w:tcPr>
            <w:tcW w:w="1054" w:type="dxa"/>
            <w:tcBorders>
              <w:top w:val="nil"/>
              <w:left w:val="nil"/>
              <w:bottom w:val="nil"/>
              <w:right w:val="single" w:sz="4" w:space="0" w:color="auto"/>
            </w:tcBorders>
            <w:shd w:val="clear" w:color="000000"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7,632,451</w:t>
            </w:r>
          </w:p>
        </w:tc>
        <w:tc>
          <w:tcPr>
            <w:tcW w:w="1148" w:type="dxa"/>
            <w:tcBorders>
              <w:top w:val="nil"/>
              <w:left w:val="nil"/>
              <w:bottom w:val="nil"/>
              <w:right w:val="single" w:sz="8" w:space="0" w:color="auto"/>
            </w:tcBorders>
            <w:shd w:val="clear" w:color="000000"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14,546,893</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ASX Australian Securities Exchange</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1,204,700</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129,817</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433,187</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921,448</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39,446</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916,422</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Bursa Malaysia Derivatives</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214,167</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3,977</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27,622</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964</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0</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566</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China Financial Futures Exchange</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4,718,581</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662,013</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323,546</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Hong Kong Exchanges and Clearing</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11,504,878</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1,144,500</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651,469</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4,261,117</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418,411</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3,261,336</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Japan Exchange Group</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32,583,679</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1,201,376</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1,971,463</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3,157,003</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2,055,283</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Korea Exchange</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8,844,547</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317,117</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810,095</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58,837,908</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3,016,421</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3,650,836</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National Stock Exchange of India Limited</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8,743,443</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84,889</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316,703</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427,692,413</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3,866,777</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1,692,839</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Singapore Exchange</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16,734,488</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2,125,364</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1,256,851</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2,207,077</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Taiwan Futures Exchange</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7,419,753</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309,389</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162,036</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17,469,283</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291,396</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677,009</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Thailand Futures Exchange</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4,515,709</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335,987</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252,577</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85,525</w:t>
            </w:r>
          </w:p>
        </w:tc>
      </w:tr>
      <w:tr w:rsidR="002240ED" w:rsidRPr="00BF34B8" w:rsidTr="002240ED">
        <w:trPr>
          <w:trHeight w:val="255"/>
          <w:jc w:val="center"/>
        </w:trPr>
        <w:tc>
          <w:tcPr>
            <w:tcW w:w="3215" w:type="dxa"/>
            <w:tcBorders>
              <w:top w:val="nil"/>
              <w:left w:val="single" w:sz="8" w:space="0" w:color="auto"/>
              <w:bottom w:val="nil"/>
              <w:right w:val="nil"/>
            </w:tcBorders>
            <w:shd w:val="clear" w:color="000000" w:fill="B8CCE4"/>
            <w:noWrap/>
          </w:tcPr>
          <w:p w:rsidR="002240ED" w:rsidRPr="00BF34B8" w:rsidRDefault="002240ED" w:rsidP="002240ED">
            <w:pPr>
              <w:rPr>
                <w:rFonts w:ascii="Garamond" w:hAnsi="Garamond" w:cs="Calibri"/>
                <w:b/>
                <w:bCs/>
                <w:sz w:val="20"/>
                <w:szCs w:val="20"/>
              </w:rPr>
            </w:pPr>
            <w:r w:rsidRPr="00BF34B8">
              <w:rPr>
                <w:rFonts w:ascii="Garamond" w:hAnsi="Garamond" w:cs="Calibri"/>
                <w:b/>
                <w:bCs/>
                <w:sz w:val="20"/>
                <w:szCs w:val="20"/>
              </w:rPr>
              <w:t>Europe - Africa - Middle East</w:t>
            </w:r>
          </w:p>
        </w:tc>
        <w:tc>
          <w:tcPr>
            <w:tcW w:w="1323" w:type="dxa"/>
            <w:tcBorders>
              <w:top w:val="nil"/>
              <w:left w:val="single" w:sz="4" w:space="0" w:color="auto"/>
              <w:bottom w:val="nil"/>
              <w:right w:val="single" w:sz="4" w:space="0" w:color="auto"/>
            </w:tcBorders>
            <w:shd w:val="clear" w:color="000000"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71,070,236</w:t>
            </w:r>
          </w:p>
        </w:tc>
        <w:tc>
          <w:tcPr>
            <w:tcW w:w="1054" w:type="dxa"/>
            <w:tcBorders>
              <w:top w:val="nil"/>
              <w:left w:val="nil"/>
              <w:bottom w:val="nil"/>
              <w:right w:val="nil"/>
            </w:tcBorders>
            <w:shd w:val="clear" w:color="000000"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2,868,413</w:t>
            </w:r>
          </w:p>
        </w:tc>
        <w:tc>
          <w:tcPr>
            <w:tcW w:w="1074" w:type="dxa"/>
            <w:tcBorders>
              <w:top w:val="nil"/>
              <w:left w:val="single" w:sz="4" w:space="0" w:color="auto"/>
              <w:bottom w:val="nil"/>
              <w:right w:val="single" w:sz="4" w:space="0" w:color="auto"/>
            </w:tcBorders>
            <w:shd w:val="clear" w:color="000000"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14,538,536</w:t>
            </w:r>
          </w:p>
        </w:tc>
        <w:tc>
          <w:tcPr>
            <w:tcW w:w="1150" w:type="dxa"/>
            <w:tcBorders>
              <w:top w:val="nil"/>
              <w:left w:val="nil"/>
              <w:bottom w:val="nil"/>
              <w:right w:val="single" w:sz="4" w:space="0" w:color="auto"/>
            </w:tcBorders>
            <w:shd w:val="clear" w:color="000000"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46,450,923</w:t>
            </w:r>
          </w:p>
        </w:tc>
        <w:tc>
          <w:tcPr>
            <w:tcW w:w="1054" w:type="dxa"/>
            <w:tcBorders>
              <w:top w:val="nil"/>
              <w:left w:val="nil"/>
              <w:bottom w:val="nil"/>
              <w:right w:val="single" w:sz="4" w:space="0" w:color="auto"/>
            </w:tcBorders>
            <w:shd w:val="clear" w:color="000000"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1,619,485</w:t>
            </w:r>
          </w:p>
        </w:tc>
        <w:tc>
          <w:tcPr>
            <w:tcW w:w="1148" w:type="dxa"/>
            <w:tcBorders>
              <w:top w:val="nil"/>
              <w:left w:val="nil"/>
              <w:bottom w:val="nil"/>
              <w:right w:val="single" w:sz="8" w:space="0" w:color="auto"/>
            </w:tcBorders>
            <w:shd w:val="clear" w:color="000000"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60,101,315</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Athens Stock Exchange</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75,878</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342</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16,442</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5,601</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26</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2,708</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Borsa Istanbul</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5,411,147</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11,385</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439,247</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22,681</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49</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34,480</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Budapest Stock Exchange</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34,452</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45</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17,093</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Johannesburg Stock Exchange</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Moscow Exchange</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10,891,724</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26,446</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417,910</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2,171,388</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5,477</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631,096</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Tehran Stock Exchange</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347</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r>
      <w:tr w:rsidR="002240ED" w:rsidRPr="00455181" w:rsidTr="002240ED">
        <w:trPr>
          <w:trHeight w:val="255"/>
          <w:jc w:val="center"/>
        </w:trPr>
        <w:tc>
          <w:tcPr>
            <w:tcW w:w="3215" w:type="dxa"/>
            <w:tcBorders>
              <w:top w:val="nil"/>
              <w:left w:val="single" w:sz="8" w:space="0" w:color="auto"/>
              <w:bottom w:val="nil"/>
              <w:right w:val="nil"/>
            </w:tcBorders>
            <w:shd w:val="clear" w:color="auto" w:fill="auto"/>
            <w:noWrap/>
          </w:tcPr>
          <w:p w:rsidR="002240ED" w:rsidRPr="00455181" w:rsidRDefault="002240ED" w:rsidP="002240ED">
            <w:pPr>
              <w:rPr>
                <w:rFonts w:ascii="Garamond" w:hAnsi="Garamond" w:cs="Calibri"/>
                <w:sz w:val="20"/>
                <w:szCs w:val="20"/>
              </w:rPr>
            </w:pPr>
            <w:r w:rsidRPr="00455181">
              <w:rPr>
                <w:rFonts w:ascii="Garamond" w:hAnsi="Garamond" w:cs="Calibri"/>
                <w:sz w:val="20"/>
                <w:szCs w:val="20"/>
              </w:rPr>
              <w:t>Tel-Aviv Stock Exchange</w:t>
            </w:r>
          </w:p>
        </w:tc>
        <w:tc>
          <w:tcPr>
            <w:tcW w:w="1323"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54" w:type="dxa"/>
            <w:tcBorders>
              <w:top w:val="nil"/>
              <w:left w:val="nil"/>
              <w:bottom w:val="nil"/>
              <w:right w:val="nil"/>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50"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2,640,847</w:t>
            </w:r>
          </w:p>
        </w:tc>
        <w:tc>
          <w:tcPr>
            <w:tcW w:w="1054" w:type="dxa"/>
            <w:tcBorders>
              <w:top w:val="nil"/>
              <w:left w:val="nil"/>
              <w:bottom w:val="nil"/>
              <w:right w:val="single" w:sz="4"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118,029</w:t>
            </w:r>
          </w:p>
        </w:tc>
        <w:tc>
          <w:tcPr>
            <w:tcW w:w="1148" w:type="dxa"/>
            <w:tcBorders>
              <w:top w:val="nil"/>
              <w:left w:val="nil"/>
              <w:bottom w:val="nil"/>
              <w:right w:val="single" w:sz="8" w:space="0" w:color="auto"/>
            </w:tcBorders>
            <w:shd w:val="clear" w:color="auto" w:fill="auto"/>
            <w:noWrap/>
          </w:tcPr>
          <w:p w:rsidR="002240ED" w:rsidRPr="00455181" w:rsidRDefault="002240ED" w:rsidP="002240ED">
            <w:pPr>
              <w:jc w:val="right"/>
              <w:rPr>
                <w:rFonts w:ascii="Garamond" w:eastAsia="Times New Roman" w:hAnsi="Garamond" w:cs="Calibri"/>
                <w:sz w:val="20"/>
                <w:szCs w:val="20"/>
                <w:lang w:val="en-US"/>
              </w:rPr>
            </w:pPr>
            <w:r w:rsidRPr="00455181">
              <w:rPr>
                <w:rFonts w:ascii="Garamond" w:eastAsia="Times New Roman" w:hAnsi="Garamond" w:cs="Calibri"/>
                <w:sz w:val="20"/>
                <w:szCs w:val="20"/>
                <w:lang w:val="en-US"/>
              </w:rPr>
              <w:t>166,716</w:t>
            </w:r>
          </w:p>
        </w:tc>
      </w:tr>
      <w:tr w:rsidR="002240ED" w:rsidRPr="00BF34B8" w:rsidTr="002240ED">
        <w:trPr>
          <w:trHeight w:val="270"/>
          <w:jc w:val="center"/>
        </w:trPr>
        <w:tc>
          <w:tcPr>
            <w:tcW w:w="3215" w:type="dxa"/>
            <w:tcBorders>
              <w:top w:val="single" w:sz="4" w:space="0" w:color="95B3D7"/>
              <w:left w:val="single" w:sz="8" w:space="0" w:color="auto"/>
              <w:bottom w:val="single" w:sz="8" w:space="0" w:color="auto"/>
              <w:right w:val="nil"/>
            </w:tcBorders>
            <w:shd w:val="clear" w:color="DBE5F1" w:fill="B8CCE4"/>
            <w:noWrap/>
          </w:tcPr>
          <w:p w:rsidR="002240ED" w:rsidRPr="00BF34B8" w:rsidRDefault="002240ED" w:rsidP="002240ED">
            <w:pPr>
              <w:rPr>
                <w:rFonts w:ascii="Garamond" w:hAnsi="Garamond" w:cs="Calibri"/>
                <w:b/>
                <w:bCs/>
                <w:sz w:val="20"/>
                <w:szCs w:val="20"/>
              </w:rPr>
            </w:pPr>
            <w:r w:rsidRPr="00BF34B8">
              <w:rPr>
                <w:rFonts w:ascii="Garamond" w:hAnsi="Garamond" w:cs="Calibri"/>
                <w:b/>
                <w:bCs/>
                <w:sz w:val="20"/>
                <w:szCs w:val="20"/>
              </w:rPr>
              <w:t>Grand Total</w:t>
            </w:r>
          </w:p>
        </w:tc>
        <w:tc>
          <w:tcPr>
            <w:tcW w:w="1323" w:type="dxa"/>
            <w:tcBorders>
              <w:top w:val="single" w:sz="4" w:space="0" w:color="95B3D7"/>
              <w:left w:val="single" w:sz="4" w:space="0" w:color="auto"/>
              <w:bottom w:val="single" w:sz="8" w:space="0" w:color="auto"/>
              <w:right w:val="single" w:sz="4" w:space="0" w:color="auto"/>
            </w:tcBorders>
            <w:shd w:val="clear" w:color="DBE5F1"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445,375,798</w:t>
            </w:r>
          </w:p>
        </w:tc>
        <w:tc>
          <w:tcPr>
            <w:tcW w:w="1054" w:type="dxa"/>
            <w:tcBorders>
              <w:top w:val="single" w:sz="4" w:space="0" w:color="95B3D7"/>
              <w:left w:val="nil"/>
              <w:bottom w:val="single" w:sz="8" w:space="0" w:color="auto"/>
              <w:right w:val="nil"/>
            </w:tcBorders>
            <w:shd w:val="clear" w:color="DBE5F1"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17,950,905</w:t>
            </w:r>
          </w:p>
        </w:tc>
        <w:tc>
          <w:tcPr>
            <w:tcW w:w="1074" w:type="dxa"/>
            <w:tcBorders>
              <w:top w:val="single" w:sz="4" w:space="0" w:color="95B3D7"/>
              <w:left w:val="single" w:sz="4" w:space="0" w:color="auto"/>
              <w:bottom w:val="single" w:sz="8" w:space="0" w:color="auto"/>
              <w:right w:val="single" w:sz="4" w:space="0" w:color="auto"/>
            </w:tcBorders>
            <w:shd w:val="clear" w:color="DBE5F1"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29,142,214</w:t>
            </w:r>
          </w:p>
        </w:tc>
        <w:tc>
          <w:tcPr>
            <w:tcW w:w="1150" w:type="dxa"/>
            <w:tcBorders>
              <w:top w:val="single" w:sz="4" w:space="0" w:color="95B3D7"/>
              <w:left w:val="nil"/>
              <w:bottom w:val="single" w:sz="8" w:space="0" w:color="auto"/>
              <w:right w:val="single" w:sz="4" w:space="0" w:color="auto"/>
            </w:tcBorders>
            <w:shd w:val="clear" w:color="DBE5F1"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637,058,968</w:t>
            </w:r>
          </w:p>
        </w:tc>
        <w:tc>
          <w:tcPr>
            <w:tcW w:w="1054" w:type="dxa"/>
            <w:tcBorders>
              <w:top w:val="single" w:sz="4" w:space="0" w:color="95B3D7"/>
              <w:left w:val="nil"/>
              <w:bottom w:val="single" w:sz="8" w:space="0" w:color="auto"/>
              <w:right w:val="single" w:sz="4" w:space="0" w:color="auto"/>
            </w:tcBorders>
            <w:shd w:val="clear" w:color="DBE5F1"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12,696,438</w:t>
            </w:r>
          </w:p>
        </w:tc>
        <w:tc>
          <w:tcPr>
            <w:tcW w:w="1148" w:type="dxa"/>
            <w:tcBorders>
              <w:top w:val="single" w:sz="4" w:space="0" w:color="95B3D7"/>
              <w:left w:val="nil"/>
              <w:bottom w:val="single" w:sz="8" w:space="0" w:color="auto"/>
              <w:right w:val="single" w:sz="8" w:space="0" w:color="auto"/>
            </w:tcBorders>
            <w:shd w:val="clear" w:color="DBE5F1" w:fill="B8CCE4"/>
            <w:noWrap/>
          </w:tcPr>
          <w:p w:rsidR="002240ED" w:rsidRPr="00BF34B8" w:rsidRDefault="002240ED" w:rsidP="002240ED">
            <w:pPr>
              <w:jc w:val="right"/>
              <w:rPr>
                <w:rFonts w:ascii="Garamond" w:eastAsia="Times New Roman" w:hAnsi="Garamond" w:cs="Calibri"/>
                <w:b/>
                <w:bCs/>
                <w:sz w:val="20"/>
                <w:szCs w:val="20"/>
                <w:lang w:val="en-US"/>
              </w:rPr>
            </w:pPr>
            <w:r w:rsidRPr="00BF34B8">
              <w:rPr>
                <w:rFonts w:ascii="Garamond" w:eastAsia="Times New Roman" w:hAnsi="Garamond" w:cs="Calibri"/>
                <w:b/>
                <w:bCs/>
                <w:sz w:val="20"/>
                <w:szCs w:val="20"/>
                <w:lang w:val="en-US"/>
              </w:rPr>
              <w:t>109,546,496</w:t>
            </w:r>
          </w:p>
        </w:tc>
      </w:tr>
    </w:tbl>
    <w:p w:rsidR="002240ED" w:rsidRPr="00455181" w:rsidRDefault="002240ED" w:rsidP="002240ED">
      <w:pPr>
        <w:tabs>
          <w:tab w:val="left" w:pos="3306"/>
          <w:tab w:val="left" w:pos="4629"/>
          <w:tab w:val="left" w:pos="5685"/>
          <w:tab w:val="left" w:pos="6759"/>
          <w:tab w:val="left" w:pos="7923"/>
          <w:tab w:val="left" w:pos="8994"/>
        </w:tabs>
        <w:ind w:left="91"/>
        <w:rPr>
          <w:rFonts w:ascii="Garamond" w:eastAsia="Times New Roman" w:hAnsi="Garamond" w:cs="Calibri"/>
          <w:sz w:val="20"/>
          <w:szCs w:val="20"/>
          <w:lang w:val="en-US"/>
        </w:rPr>
      </w:pPr>
      <w:r w:rsidRPr="00455181">
        <w:rPr>
          <w:rFonts w:ascii="Garamond" w:eastAsia="Times New Roman" w:hAnsi="Garamond" w:cs="Calibri"/>
          <w:sz w:val="20"/>
          <w:szCs w:val="20"/>
          <w:lang w:val="en-US"/>
        </w:rPr>
        <w:tab/>
      </w:r>
      <w:r w:rsidRPr="00455181">
        <w:rPr>
          <w:rFonts w:ascii="Garamond" w:eastAsia="Times New Roman" w:hAnsi="Garamond" w:cs="Calibri"/>
          <w:sz w:val="20"/>
          <w:szCs w:val="20"/>
          <w:lang w:val="en-US"/>
        </w:rPr>
        <w:tab/>
      </w:r>
      <w:r w:rsidRPr="00455181">
        <w:rPr>
          <w:rFonts w:ascii="Garamond" w:eastAsia="Times New Roman" w:hAnsi="Garamond" w:cs="Calibri"/>
          <w:sz w:val="20"/>
          <w:szCs w:val="20"/>
          <w:lang w:val="en-US"/>
        </w:rPr>
        <w:tab/>
      </w:r>
      <w:r w:rsidRPr="00455181">
        <w:rPr>
          <w:rFonts w:ascii="Garamond" w:eastAsia="Times New Roman" w:hAnsi="Garamond" w:cs="Calibri"/>
          <w:sz w:val="20"/>
          <w:szCs w:val="20"/>
          <w:lang w:val="en-US"/>
        </w:rPr>
        <w:tab/>
      </w:r>
      <w:r w:rsidRPr="00455181">
        <w:rPr>
          <w:rFonts w:ascii="Garamond" w:eastAsia="Times New Roman" w:hAnsi="Garamond" w:cs="Calibri"/>
          <w:sz w:val="20"/>
          <w:szCs w:val="20"/>
          <w:lang w:val="en-US"/>
        </w:rPr>
        <w:tab/>
      </w:r>
    </w:p>
    <w:p w:rsidR="002240ED" w:rsidRPr="00455181" w:rsidRDefault="002240ED" w:rsidP="002240ED">
      <w:pPr>
        <w:jc w:val="both"/>
        <w:rPr>
          <w:rFonts w:ascii="Garamond" w:hAnsi="Garamond"/>
          <w:sz w:val="18"/>
        </w:rPr>
      </w:pPr>
      <w:r w:rsidRPr="00455181">
        <w:rPr>
          <w:rFonts w:ascii="Garamond" w:hAnsi="Garamond"/>
          <w:sz w:val="18"/>
        </w:rPr>
        <w:t>NA: Not Available</w:t>
      </w:r>
    </w:p>
    <w:p w:rsidR="002240ED" w:rsidRPr="00455181" w:rsidRDefault="002240ED" w:rsidP="002240ED">
      <w:pPr>
        <w:jc w:val="both"/>
        <w:outlineLvl w:val="0"/>
        <w:rPr>
          <w:rFonts w:ascii="Garamond" w:hAnsi="Garamond"/>
          <w:b/>
          <w:sz w:val="18"/>
        </w:rPr>
      </w:pPr>
      <w:r w:rsidRPr="00455181">
        <w:rPr>
          <w:rFonts w:ascii="Garamond" w:hAnsi="Garamond"/>
          <w:b/>
          <w:sz w:val="18"/>
        </w:rPr>
        <w:t>Source: World Federation of Exchanges</w:t>
      </w:r>
    </w:p>
    <w:p w:rsidR="002240ED" w:rsidRPr="00842D76" w:rsidRDefault="002240ED" w:rsidP="002240ED">
      <w:pPr>
        <w:tabs>
          <w:tab w:val="left" w:pos="3306"/>
          <w:tab w:val="left" w:pos="4629"/>
          <w:tab w:val="left" w:pos="5685"/>
          <w:tab w:val="left" w:pos="6759"/>
          <w:tab w:val="left" w:pos="7923"/>
          <w:tab w:val="left" w:pos="8994"/>
        </w:tabs>
        <w:ind w:left="91"/>
        <w:rPr>
          <w:rFonts w:ascii="Garamond" w:eastAsia="Times New Roman" w:hAnsi="Garamond" w:cs="Calibri"/>
          <w:color w:val="0070C0"/>
          <w:sz w:val="20"/>
          <w:szCs w:val="20"/>
          <w:lang w:val="en-US"/>
        </w:rPr>
      </w:pP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p>
    <w:p w:rsidR="002240ED" w:rsidRPr="00842D76" w:rsidRDefault="002240ED" w:rsidP="002240ED">
      <w:pPr>
        <w:rPr>
          <w:color w:val="0070C0"/>
        </w:rPr>
      </w:pPr>
      <w:r w:rsidRPr="00842D76">
        <w:rPr>
          <w:color w:val="0070C0"/>
        </w:rPr>
        <w:br w:type="page"/>
      </w:r>
    </w:p>
    <w:tbl>
      <w:tblPr>
        <w:tblW w:w="9877" w:type="dxa"/>
        <w:jc w:val="center"/>
        <w:tblLook w:val="04A0" w:firstRow="1" w:lastRow="0" w:firstColumn="1" w:lastColumn="0" w:noHBand="0" w:noVBand="1"/>
      </w:tblPr>
      <w:tblGrid>
        <w:gridCol w:w="3215"/>
        <w:gridCol w:w="1323"/>
        <w:gridCol w:w="988"/>
        <w:gridCol w:w="1074"/>
        <w:gridCol w:w="1150"/>
        <w:gridCol w:w="1056"/>
        <w:gridCol w:w="1071"/>
      </w:tblGrid>
      <w:tr w:rsidR="002240ED" w:rsidRPr="0078121B" w:rsidTr="007E42E3">
        <w:trPr>
          <w:trHeight w:val="270"/>
          <w:jc w:val="center"/>
        </w:trPr>
        <w:tc>
          <w:tcPr>
            <w:tcW w:w="9877" w:type="dxa"/>
            <w:gridSpan w:val="7"/>
            <w:tcBorders>
              <w:top w:val="nil"/>
              <w:left w:val="nil"/>
              <w:bottom w:val="single" w:sz="8" w:space="0" w:color="auto"/>
              <w:right w:val="nil"/>
            </w:tcBorders>
            <w:shd w:val="clear" w:color="auto" w:fill="auto"/>
            <w:noWrap/>
            <w:vAlign w:val="bottom"/>
            <w:hideMark/>
          </w:tcPr>
          <w:p w:rsidR="002240ED" w:rsidRPr="0078121B" w:rsidRDefault="002240ED" w:rsidP="002240ED">
            <w:pPr>
              <w:jc w:val="center"/>
              <w:rPr>
                <w:rFonts w:ascii="Garamond" w:eastAsia="Times New Roman" w:hAnsi="Garamond" w:cs="Calibri"/>
                <w:b/>
                <w:bCs/>
                <w:sz w:val="20"/>
                <w:szCs w:val="20"/>
                <w:lang w:val="en-US"/>
              </w:rPr>
            </w:pPr>
            <w:r w:rsidRPr="0078121B">
              <w:rPr>
                <w:rFonts w:ascii="Garamond" w:eastAsia="Times New Roman" w:hAnsi="Garamond" w:cs="Calibri"/>
                <w:b/>
                <w:bCs/>
                <w:sz w:val="20"/>
                <w:szCs w:val="20"/>
                <w:lang w:val="en-US"/>
              </w:rPr>
              <w:lastRenderedPageBreak/>
              <w:t>Table A7: Currency Futures and Options Traded in Major Exchanges</w:t>
            </w:r>
          </w:p>
        </w:tc>
      </w:tr>
      <w:tr w:rsidR="002240ED" w:rsidRPr="0078121B" w:rsidTr="007E42E3">
        <w:trPr>
          <w:trHeight w:val="270"/>
          <w:jc w:val="center"/>
        </w:trPr>
        <w:tc>
          <w:tcPr>
            <w:tcW w:w="321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2240ED" w:rsidRPr="0078121B" w:rsidRDefault="002240ED" w:rsidP="002240ED">
            <w:pPr>
              <w:jc w:val="center"/>
              <w:rPr>
                <w:rFonts w:ascii="Garamond" w:eastAsia="Times New Roman" w:hAnsi="Garamond" w:cs="Calibri"/>
                <w:b/>
                <w:bCs/>
                <w:sz w:val="20"/>
                <w:szCs w:val="20"/>
                <w:lang w:val="en-US"/>
              </w:rPr>
            </w:pPr>
            <w:r w:rsidRPr="0078121B">
              <w:rPr>
                <w:rFonts w:ascii="Garamond" w:eastAsia="Times New Roman" w:hAnsi="Garamond" w:cs="Calibri"/>
                <w:b/>
                <w:bCs/>
                <w:sz w:val="20"/>
                <w:szCs w:val="20"/>
                <w:lang w:val="en-US"/>
              </w:rPr>
              <w:t>Exchange</w:t>
            </w:r>
          </w:p>
        </w:tc>
        <w:tc>
          <w:tcPr>
            <w:tcW w:w="6662" w:type="dxa"/>
            <w:gridSpan w:val="6"/>
            <w:tcBorders>
              <w:top w:val="single" w:sz="8" w:space="0" w:color="auto"/>
              <w:left w:val="nil"/>
              <w:bottom w:val="single" w:sz="8" w:space="0" w:color="auto"/>
              <w:right w:val="single" w:sz="8" w:space="0" w:color="000000"/>
            </w:tcBorders>
            <w:shd w:val="clear" w:color="000000" w:fill="B8CCE4"/>
            <w:vAlign w:val="bottom"/>
            <w:hideMark/>
          </w:tcPr>
          <w:p w:rsidR="002240ED" w:rsidRPr="0078121B" w:rsidRDefault="002240ED" w:rsidP="002240ED">
            <w:pPr>
              <w:jc w:val="center"/>
              <w:rPr>
                <w:rFonts w:ascii="Garamond" w:eastAsia="Times New Roman" w:hAnsi="Garamond" w:cs="Calibri"/>
                <w:b/>
                <w:bCs/>
                <w:sz w:val="20"/>
                <w:szCs w:val="20"/>
                <w:lang w:val="en-US"/>
              </w:rPr>
            </w:pPr>
            <w:r w:rsidRPr="0078121B">
              <w:rPr>
                <w:rFonts w:ascii="Garamond" w:eastAsia="Times New Roman" w:hAnsi="Garamond" w:cs="Calibri"/>
                <w:b/>
                <w:bCs/>
                <w:sz w:val="20"/>
                <w:szCs w:val="20"/>
                <w:lang w:val="en-US"/>
              </w:rPr>
              <w:t>Aug-19</w:t>
            </w:r>
          </w:p>
        </w:tc>
      </w:tr>
      <w:tr w:rsidR="002240ED" w:rsidRPr="0078121B" w:rsidTr="007E42E3">
        <w:trPr>
          <w:trHeight w:val="315"/>
          <w:jc w:val="center"/>
        </w:trPr>
        <w:tc>
          <w:tcPr>
            <w:tcW w:w="3215" w:type="dxa"/>
            <w:vMerge/>
            <w:tcBorders>
              <w:top w:val="nil"/>
              <w:left w:val="single" w:sz="8" w:space="0" w:color="auto"/>
              <w:bottom w:val="single" w:sz="8" w:space="0" w:color="000000"/>
              <w:right w:val="single" w:sz="8" w:space="0" w:color="auto"/>
            </w:tcBorders>
            <w:vAlign w:val="center"/>
            <w:hideMark/>
          </w:tcPr>
          <w:p w:rsidR="002240ED" w:rsidRPr="0078121B" w:rsidRDefault="002240ED" w:rsidP="002240ED">
            <w:pPr>
              <w:jc w:val="center"/>
              <w:rPr>
                <w:rFonts w:ascii="Garamond" w:eastAsia="Times New Roman" w:hAnsi="Garamond" w:cs="Calibri"/>
                <w:b/>
                <w:bCs/>
                <w:sz w:val="20"/>
                <w:szCs w:val="20"/>
                <w:lang w:val="en-US"/>
              </w:rPr>
            </w:pPr>
          </w:p>
        </w:tc>
        <w:tc>
          <w:tcPr>
            <w:tcW w:w="3385" w:type="dxa"/>
            <w:gridSpan w:val="3"/>
            <w:tcBorders>
              <w:top w:val="single" w:sz="8" w:space="0" w:color="auto"/>
              <w:left w:val="nil"/>
              <w:bottom w:val="single" w:sz="8" w:space="0" w:color="auto"/>
              <w:right w:val="single" w:sz="8" w:space="0" w:color="000000"/>
            </w:tcBorders>
            <w:shd w:val="clear" w:color="000000" w:fill="B8CCE4"/>
            <w:vAlign w:val="center"/>
            <w:hideMark/>
          </w:tcPr>
          <w:p w:rsidR="002240ED" w:rsidRPr="0078121B" w:rsidRDefault="002240ED" w:rsidP="002240ED">
            <w:pPr>
              <w:jc w:val="center"/>
              <w:rPr>
                <w:rFonts w:ascii="Garamond" w:eastAsia="Times New Roman" w:hAnsi="Garamond" w:cs="Calibri"/>
                <w:b/>
                <w:bCs/>
                <w:sz w:val="20"/>
                <w:szCs w:val="20"/>
                <w:lang w:val="en-US"/>
              </w:rPr>
            </w:pPr>
            <w:r w:rsidRPr="0078121B">
              <w:rPr>
                <w:rFonts w:ascii="Garamond" w:eastAsia="Times New Roman" w:hAnsi="Garamond" w:cs="Calibri"/>
                <w:b/>
                <w:bCs/>
                <w:sz w:val="20"/>
                <w:szCs w:val="20"/>
                <w:lang w:val="en-US"/>
              </w:rPr>
              <w:t xml:space="preserve"> Currency Futures </w:t>
            </w:r>
          </w:p>
        </w:tc>
        <w:tc>
          <w:tcPr>
            <w:tcW w:w="3277" w:type="dxa"/>
            <w:gridSpan w:val="3"/>
            <w:tcBorders>
              <w:top w:val="single" w:sz="8" w:space="0" w:color="auto"/>
              <w:left w:val="nil"/>
              <w:bottom w:val="single" w:sz="8" w:space="0" w:color="auto"/>
              <w:right w:val="single" w:sz="8" w:space="0" w:color="000000"/>
            </w:tcBorders>
            <w:shd w:val="clear" w:color="000000" w:fill="B8CCE4"/>
            <w:vAlign w:val="center"/>
            <w:hideMark/>
          </w:tcPr>
          <w:p w:rsidR="002240ED" w:rsidRPr="0078121B" w:rsidRDefault="002240ED" w:rsidP="002240ED">
            <w:pPr>
              <w:jc w:val="center"/>
              <w:rPr>
                <w:rFonts w:ascii="Garamond" w:eastAsia="Times New Roman" w:hAnsi="Garamond" w:cs="Calibri"/>
                <w:b/>
                <w:bCs/>
                <w:sz w:val="20"/>
                <w:szCs w:val="20"/>
                <w:lang w:val="en-US"/>
              </w:rPr>
            </w:pPr>
            <w:r w:rsidRPr="0078121B">
              <w:rPr>
                <w:rFonts w:ascii="Garamond" w:eastAsia="Times New Roman" w:hAnsi="Garamond" w:cs="Calibri"/>
                <w:b/>
                <w:bCs/>
                <w:sz w:val="20"/>
                <w:szCs w:val="20"/>
                <w:lang w:val="en-US"/>
              </w:rPr>
              <w:t xml:space="preserve"> Currency Options </w:t>
            </w:r>
          </w:p>
        </w:tc>
      </w:tr>
      <w:tr w:rsidR="002240ED" w:rsidRPr="0078121B" w:rsidTr="007E42E3">
        <w:trPr>
          <w:trHeight w:val="795"/>
          <w:jc w:val="center"/>
        </w:trPr>
        <w:tc>
          <w:tcPr>
            <w:tcW w:w="3215" w:type="dxa"/>
            <w:vMerge/>
            <w:tcBorders>
              <w:top w:val="nil"/>
              <w:left w:val="single" w:sz="8" w:space="0" w:color="auto"/>
              <w:bottom w:val="single" w:sz="8" w:space="0" w:color="000000"/>
              <w:right w:val="single" w:sz="8" w:space="0" w:color="auto"/>
            </w:tcBorders>
            <w:vAlign w:val="center"/>
            <w:hideMark/>
          </w:tcPr>
          <w:p w:rsidR="002240ED" w:rsidRPr="0078121B" w:rsidRDefault="002240ED" w:rsidP="002240ED">
            <w:pPr>
              <w:jc w:val="center"/>
              <w:rPr>
                <w:rFonts w:ascii="Garamond" w:eastAsia="Times New Roman" w:hAnsi="Garamond" w:cs="Calibri"/>
                <w:b/>
                <w:bCs/>
                <w:sz w:val="20"/>
                <w:szCs w:val="20"/>
                <w:lang w:val="en-US"/>
              </w:rPr>
            </w:pPr>
          </w:p>
        </w:tc>
        <w:tc>
          <w:tcPr>
            <w:tcW w:w="1323"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eastAsia="Times New Roman" w:hAnsi="Garamond" w:cs="Calibri"/>
                <w:b/>
                <w:bCs/>
                <w:sz w:val="20"/>
                <w:szCs w:val="20"/>
                <w:lang w:bidi="hi-IN"/>
              </w:rPr>
            </w:pPr>
            <w:r w:rsidRPr="0010072C">
              <w:rPr>
                <w:rFonts w:ascii="Garamond" w:hAnsi="Garamond" w:cs="Calibri"/>
                <w:b/>
                <w:bCs/>
                <w:sz w:val="20"/>
                <w:szCs w:val="20"/>
              </w:rPr>
              <w:t>Number of Contracts Traded</w:t>
            </w:r>
          </w:p>
        </w:tc>
        <w:tc>
          <w:tcPr>
            <w:tcW w:w="988"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Notional Value</w:t>
            </w:r>
          </w:p>
        </w:tc>
        <w:tc>
          <w:tcPr>
            <w:tcW w:w="1074"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Open Interest</w:t>
            </w:r>
          </w:p>
        </w:tc>
        <w:tc>
          <w:tcPr>
            <w:tcW w:w="1150"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Number of Contracts Traded</w:t>
            </w:r>
          </w:p>
        </w:tc>
        <w:tc>
          <w:tcPr>
            <w:tcW w:w="1056"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Notional Value</w:t>
            </w:r>
          </w:p>
        </w:tc>
        <w:tc>
          <w:tcPr>
            <w:tcW w:w="1071"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Open Interest</w:t>
            </w:r>
          </w:p>
        </w:tc>
      </w:tr>
      <w:tr w:rsidR="002240ED" w:rsidRPr="00BF34B8" w:rsidTr="007E42E3">
        <w:trPr>
          <w:trHeight w:val="255"/>
          <w:jc w:val="center"/>
        </w:trPr>
        <w:tc>
          <w:tcPr>
            <w:tcW w:w="3215" w:type="dxa"/>
            <w:tcBorders>
              <w:top w:val="nil"/>
              <w:left w:val="single" w:sz="8" w:space="0" w:color="auto"/>
              <w:bottom w:val="nil"/>
              <w:right w:val="nil"/>
            </w:tcBorders>
            <w:shd w:val="clear" w:color="000000" w:fill="B8CCE4"/>
            <w:noWrap/>
            <w:vAlign w:val="center"/>
            <w:hideMark/>
          </w:tcPr>
          <w:p w:rsidR="002240ED" w:rsidRPr="00BF34B8" w:rsidRDefault="002240ED" w:rsidP="002240ED">
            <w:pPr>
              <w:rPr>
                <w:rFonts w:ascii="Garamond" w:eastAsia="Times New Roman" w:hAnsi="Garamond" w:cs="Calibri"/>
                <w:b/>
                <w:bCs/>
                <w:sz w:val="20"/>
                <w:szCs w:val="20"/>
                <w:lang w:bidi="hi-IN"/>
              </w:rPr>
            </w:pPr>
            <w:r w:rsidRPr="00BF34B8">
              <w:rPr>
                <w:rFonts w:ascii="Garamond" w:hAnsi="Garamond" w:cs="Calibri"/>
                <w:b/>
                <w:bCs/>
                <w:sz w:val="20"/>
                <w:szCs w:val="20"/>
              </w:rPr>
              <w:t>Americas</w:t>
            </w:r>
          </w:p>
        </w:tc>
        <w:tc>
          <w:tcPr>
            <w:tcW w:w="1323" w:type="dxa"/>
            <w:tcBorders>
              <w:top w:val="nil"/>
              <w:left w:val="single" w:sz="4" w:space="0" w:color="auto"/>
              <w:bottom w:val="nil"/>
              <w:right w:val="single" w:sz="4" w:space="0" w:color="auto"/>
            </w:tcBorders>
            <w:shd w:val="clear" w:color="000000"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87,230,917</w:t>
            </w:r>
          </w:p>
        </w:tc>
        <w:tc>
          <w:tcPr>
            <w:tcW w:w="988" w:type="dxa"/>
            <w:tcBorders>
              <w:top w:val="nil"/>
              <w:left w:val="nil"/>
              <w:bottom w:val="nil"/>
              <w:right w:val="nil"/>
            </w:tcBorders>
            <w:shd w:val="clear" w:color="000000"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2,520,049</w:t>
            </w:r>
          </w:p>
        </w:tc>
        <w:tc>
          <w:tcPr>
            <w:tcW w:w="1074" w:type="dxa"/>
            <w:tcBorders>
              <w:top w:val="nil"/>
              <w:left w:val="single" w:sz="4" w:space="0" w:color="auto"/>
              <w:bottom w:val="nil"/>
              <w:right w:val="single" w:sz="4" w:space="0" w:color="auto"/>
            </w:tcBorders>
            <w:shd w:val="clear" w:color="000000"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10,668,031</w:t>
            </w:r>
          </w:p>
        </w:tc>
        <w:tc>
          <w:tcPr>
            <w:tcW w:w="1150" w:type="dxa"/>
            <w:tcBorders>
              <w:top w:val="nil"/>
              <w:left w:val="nil"/>
              <w:bottom w:val="nil"/>
              <w:right w:val="nil"/>
            </w:tcBorders>
            <w:shd w:val="clear" w:color="000000"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2,052,243</w:t>
            </w:r>
          </w:p>
        </w:tc>
        <w:tc>
          <w:tcPr>
            <w:tcW w:w="1056" w:type="dxa"/>
            <w:tcBorders>
              <w:top w:val="nil"/>
              <w:left w:val="single" w:sz="4" w:space="0" w:color="auto"/>
              <w:bottom w:val="nil"/>
              <w:right w:val="single" w:sz="4" w:space="0" w:color="auto"/>
            </w:tcBorders>
            <w:shd w:val="clear" w:color="000000"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138,165</w:t>
            </w:r>
          </w:p>
        </w:tc>
        <w:tc>
          <w:tcPr>
            <w:tcW w:w="1071" w:type="dxa"/>
            <w:tcBorders>
              <w:top w:val="nil"/>
              <w:left w:val="nil"/>
              <w:bottom w:val="nil"/>
              <w:right w:val="single" w:sz="8" w:space="0" w:color="auto"/>
            </w:tcBorders>
            <w:shd w:val="clear" w:color="000000"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1,652,528</w:t>
            </w:r>
          </w:p>
        </w:tc>
      </w:tr>
      <w:tr w:rsidR="002240ED" w:rsidRPr="0078121B"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78121B" w:rsidRDefault="002240ED" w:rsidP="002240ED">
            <w:pPr>
              <w:rPr>
                <w:rFonts w:ascii="Garamond" w:hAnsi="Garamond" w:cs="Calibri"/>
                <w:sz w:val="20"/>
                <w:szCs w:val="20"/>
              </w:rPr>
            </w:pPr>
            <w:r w:rsidRPr="0078121B">
              <w:rPr>
                <w:rFonts w:ascii="Garamond" w:hAnsi="Garamond" w:cs="Calibri"/>
                <w:sz w:val="20"/>
                <w:szCs w:val="20"/>
              </w:rPr>
              <w:t>B3 - Brasil Bolsa Balcão</w:t>
            </w:r>
          </w:p>
        </w:tc>
        <w:tc>
          <w:tcPr>
            <w:tcW w:w="1323"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48,481,146</w:t>
            </w:r>
          </w:p>
        </w:tc>
        <w:tc>
          <w:tcPr>
            <w:tcW w:w="988"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866,100</w:t>
            </w:r>
          </w:p>
        </w:tc>
        <w:tc>
          <w:tcPr>
            <w:tcW w:w="1074"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6,685,140</w:t>
            </w:r>
          </w:p>
        </w:tc>
        <w:tc>
          <w:tcPr>
            <w:tcW w:w="1150"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879,803</w:t>
            </w:r>
          </w:p>
        </w:tc>
        <w:tc>
          <w:tcPr>
            <w:tcW w:w="1056"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536</w:t>
            </w:r>
          </w:p>
        </w:tc>
        <w:tc>
          <w:tcPr>
            <w:tcW w:w="1071" w:type="dxa"/>
            <w:tcBorders>
              <w:top w:val="nil"/>
              <w:left w:val="nil"/>
              <w:bottom w:val="nil"/>
              <w:right w:val="single" w:sz="8"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963,668</w:t>
            </w:r>
          </w:p>
        </w:tc>
      </w:tr>
      <w:tr w:rsidR="002240ED" w:rsidRPr="0078121B"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78121B" w:rsidRDefault="002240ED" w:rsidP="002240ED">
            <w:pPr>
              <w:rPr>
                <w:rFonts w:ascii="Garamond" w:hAnsi="Garamond" w:cs="Calibri"/>
                <w:sz w:val="20"/>
                <w:szCs w:val="20"/>
              </w:rPr>
            </w:pPr>
            <w:r w:rsidRPr="0078121B">
              <w:rPr>
                <w:rFonts w:ascii="Garamond" w:hAnsi="Garamond" w:cs="Calibri"/>
                <w:sz w:val="20"/>
                <w:szCs w:val="20"/>
              </w:rPr>
              <w:t>Bolsa de Valores de Colombia</w:t>
            </w:r>
          </w:p>
        </w:tc>
        <w:tc>
          <w:tcPr>
            <w:tcW w:w="1323"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47,582</w:t>
            </w:r>
          </w:p>
        </w:tc>
        <w:tc>
          <w:tcPr>
            <w:tcW w:w="988"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2,128</w:t>
            </w:r>
          </w:p>
        </w:tc>
        <w:tc>
          <w:tcPr>
            <w:tcW w:w="1074"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3,466</w:t>
            </w:r>
          </w:p>
        </w:tc>
        <w:tc>
          <w:tcPr>
            <w:tcW w:w="1150"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358</w:t>
            </w:r>
          </w:p>
        </w:tc>
        <w:tc>
          <w:tcPr>
            <w:tcW w:w="1056"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0</w:t>
            </w:r>
          </w:p>
        </w:tc>
        <w:tc>
          <w:tcPr>
            <w:tcW w:w="1071" w:type="dxa"/>
            <w:tcBorders>
              <w:top w:val="nil"/>
              <w:left w:val="nil"/>
              <w:bottom w:val="nil"/>
              <w:right w:val="single" w:sz="8"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1,152</w:t>
            </w:r>
          </w:p>
        </w:tc>
      </w:tr>
      <w:tr w:rsidR="002240ED" w:rsidRPr="0078121B"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78121B" w:rsidRDefault="002240ED" w:rsidP="002240ED">
            <w:pPr>
              <w:rPr>
                <w:rFonts w:ascii="Garamond" w:hAnsi="Garamond" w:cs="Calibri"/>
                <w:sz w:val="20"/>
                <w:szCs w:val="20"/>
              </w:rPr>
            </w:pPr>
            <w:r w:rsidRPr="0078121B">
              <w:rPr>
                <w:rFonts w:ascii="Garamond" w:hAnsi="Garamond" w:cs="Calibri"/>
                <w:sz w:val="20"/>
                <w:szCs w:val="20"/>
              </w:rPr>
              <w:t>Bolsa Mexicana de Valores</w:t>
            </w:r>
          </w:p>
        </w:tc>
        <w:tc>
          <w:tcPr>
            <w:tcW w:w="1323"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988"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074"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150"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071" w:type="dxa"/>
            <w:tcBorders>
              <w:top w:val="nil"/>
              <w:left w:val="nil"/>
              <w:bottom w:val="nil"/>
              <w:right w:val="single" w:sz="8" w:space="0" w:color="auto"/>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78121B"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78121B" w:rsidRDefault="002240ED" w:rsidP="002240ED">
            <w:pPr>
              <w:rPr>
                <w:rFonts w:ascii="Garamond" w:hAnsi="Garamond" w:cs="Calibri"/>
                <w:sz w:val="20"/>
                <w:szCs w:val="20"/>
              </w:rPr>
            </w:pPr>
            <w:r w:rsidRPr="0078121B">
              <w:rPr>
                <w:rFonts w:ascii="Garamond" w:hAnsi="Garamond" w:cs="Calibri"/>
                <w:sz w:val="20"/>
                <w:szCs w:val="20"/>
              </w:rPr>
              <w:t>CME Group</w:t>
            </w:r>
          </w:p>
        </w:tc>
        <w:tc>
          <w:tcPr>
            <w:tcW w:w="1323"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16,898,041</w:t>
            </w:r>
          </w:p>
        </w:tc>
        <w:tc>
          <w:tcPr>
            <w:tcW w:w="988"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1,593,098</w:t>
            </w:r>
          </w:p>
        </w:tc>
        <w:tc>
          <w:tcPr>
            <w:tcW w:w="1074"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1,887,352</w:t>
            </w:r>
          </w:p>
        </w:tc>
        <w:tc>
          <w:tcPr>
            <w:tcW w:w="1150"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1,169,493</w:t>
            </w:r>
          </w:p>
        </w:tc>
        <w:tc>
          <w:tcPr>
            <w:tcW w:w="1056"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137,603</w:t>
            </w:r>
          </w:p>
        </w:tc>
        <w:tc>
          <w:tcPr>
            <w:tcW w:w="1071" w:type="dxa"/>
            <w:tcBorders>
              <w:top w:val="nil"/>
              <w:left w:val="nil"/>
              <w:bottom w:val="nil"/>
              <w:right w:val="single" w:sz="8"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683,452</w:t>
            </w:r>
          </w:p>
        </w:tc>
      </w:tr>
      <w:tr w:rsidR="002240ED" w:rsidRPr="0078121B"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78121B" w:rsidRDefault="002240ED" w:rsidP="002240ED">
            <w:pPr>
              <w:rPr>
                <w:rFonts w:ascii="Garamond" w:hAnsi="Garamond" w:cs="Calibri"/>
                <w:sz w:val="20"/>
                <w:szCs w:val="20"/>
              </w:rPr>
            </w:pPr>
            <w:r w:rsidRPr="0078121B">
              <w:rPr>
                <w:rFonts w:ascii="Garamond" w:hAnsi="Garamond" w:cs="Calibri"/>
                <w:sz w:val="20"/>
                <w:szCs w:val="20"/>
              </w:rPr>
              <w:t>ICE Futures US</w:t>
            </w:r>
          </w:p>
        </w:tc>
        <w:tc>
          <w:tcPr>
            <w:tcW w:w="1323"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461,409</w:t>
            </w:r>
          </w:p>
        </w:tc>
        <w:tc>
          <w:tcPr>
            <w:tcW w:w="988"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37,300</w:t>
            </w:r>
          </w:p>
        </w:tc>
        <w:tc>
          <w:tcPr>
            <w:tcW w:w="1074"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115,443</w:t>
            </w:r>
          </w:p>
        </w:tc>
        <w:tc>
          <w:tcPr>
            <w:tcW w:w="1150"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265</w:t>
            </w:r>
          </w:p>
        </w:tc>
        <w:tc>
          <w:tcPr>
            <w:tcW w:w="1056"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26</w:t>
            </w:r>
          </w:p>
        </w:tc>
        <w:tc>
          <w:tcPr>
            <w:tcW w:w="1071" w:type="dxa"/>
            <w:tcBorders>
              <w:top w:val="nil"/>
              <w:left w:val="nil"/>
              <w:bottom w:val="nil"/>
              <w:right w:val="single" w:sz="8"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3,078</w:t>
            </w:r>
          </w:p>
        </w:tc>
      </w:tr>
      <w:tr w:rsidR="002240ED" w:rsidRPr="00BF34B8" w:rsidTr="007E42E3">
        <w:trPr>
          <w:trHeight w:val="255"/>
          <w:jc w:val="center"/>
        </w:trPr>
        <w:tc>
          <w:tcPr>
            <w:tcW w:w="3215" w:type="dxa"/>
            <w:tcBorders>
              <w:top w:val="nil"/>
              <w:left w:val="single" w:sz="8" w:space="0" w:color="auto"/>
              <w:bottom w:val="nil"/>
              <w:right w:val="nil"/>
            </w:tcBorders>
            <w:shd w:val="clear" w:color="000000" w:fill="B8CCE4"/>
            <w:noWrap/>
            <w:vAlign w:val="center"/>
            <w:hideMark/>
          </w:tcPr>
          <w:p w:rsidR="002240ED" w:rsidRPr="00BF34B8" w:rsidRDefault="002240ED" w:rsidP="002240ED">
            <w:pPr>
              <w:rPr>
                <w:rFonts w:ascii="Garamond" w:hAnsi="Garamond" w:cs="Calibri"/>
                <w:b/>
                <w:bCs/>
                <w:sz w:val="20"/>
                <w:szCs w:val="20"/>
              </w:rPr>
            </w:pPr>
            <w:r w:rsidRPr="00BF34B8">
              <w:rPr>
                <w:rFonts w:ascii="Garamond" w:hAnsi="Garamond" w:cs="Calibri"/>
                <w:b/>
                <w:bCs/>
                <w:sz w:val="20"/>
                <w:szCs w:val="20"/>
              </w:rPr>
              <w:t>Asia - Pacific</w:t>
            </w:r>
          </w:p>
        </w:tc>
        <w:tc>
          <w:tcPr>
            <w:tcW w:w="1323" w:type="dxa"/>
            <w:tcBorders>
              <w:top w:val="nil"/>
              <w:left w:val="single" w:sz="4" w:space="0" w:color="auto"/>
              <w:bottom w:val="nil"/>
              <w:right w:val="single" w:sz="4" w:space="0" w:color="auto"/>
            </w:tcBorders>
            <w:shd w:val="clear" w:color="000000"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115,360,217</w:t>
            </w:r>
          </w:p>
        </w:tc>
        <w:tc>
          <w:tcPr>
            <w:tcW w:w="988" w:type="dxa"/>
            <w:tcBorders>
              <w:top w:val="nil"/>
              <w:left w:val="nil"/>
              <w:bottom w:val="nil"/>
              <w:right w:val="nil"/>
            </w:tcBorders>
            <w:shd w:val="clear" w:color="000000"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216,433</w:t>
            </w:r>
          </w:p>
        </w:tc>
        <w:tc>
          <w:tcPr>
            <w:tcW w:w="1074" w:type="dxa"/>
            <w:tcBorders>
              <w:top w:val="nil"/>
              <w:left w:val="single" w:sz="4" w:space="0" w:color="auto"/>
              <w:bottom w:val="nil"/>
              <w:right w:val="single" w:sz="4" w:space="0" w:color="auto"/>
            </w:tcBorders>
            <w:shd w:val="clear" w:color="000000"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4,533,980</w:t>
            </w:r>
          </w:p>
        </w:tc>
        <w:tc>
          <w:tcPr>
            <w:tcW w:w="1150" w:type="dxa"/>
            <w:tcBorders>
              <w:top w:val="nil"/>
              <w:left w:val="nil"/>
              <w:bottom w:val="nil"/>
              <w:right w:val="nil"/>
            </w:tcBorders>
            <w:shd w:val="clear" w:color="000000"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127,969,739</w:t>
            </w:r>
          </w:p>
        </w:tc>
        <w:tc>
          <w:tcPr>
            <w:tcW w:w="1056" w:type="dxa"/>
            <w:tcBorders>
              <w:top w:val="nil"/>
              <w:left w:val="single" w:sz="4" w:space="0" w:color="auto"/>
              <w:bottom w:val="nil"/>
              <w:right w:val="single" w:sz="4" w:space="0" w:color="auto"/>
            </w:tcBorders>
            <w:shd w:val="clear" w:color="000000"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127,283</w:t>
            </w:r>
          </w:p>
        </w:tc>
        <w:tc>
          <w:tcPr>
            <w:tcW w:w="1071" w:type="dxa"/>
            <w:tcBorders>
              <w:top w:val="nil"/>
              <w:left w:val="nil"/>
              <w:bottom w:val="nil"/>
              <w:right w:val="single" w:sz="8" w:space="0" w:color="auto"/>
            </w:tcBorders>
            <w:shd w:val="clear" w:color="000000"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2,659,435</w:t>
            </w:r>
          </w:p>
        </w:tc>
      </w:tr>
      <w:tr w:rsidR="007E42E3" w:rsidRPr="00BF34B8" w:rsidTr="00A03A7D">
        <w:trPr>
          <w:trHeight w:val="255"/>
          <w:jc w:val="center"/>
        </w:trPr>
        <w:tc>
          <w:tcPr>
            <w:tcW w:w="3215" w:type="dxa"/>
            <w:tcBorders>
              <w:top w:val="nil"/>
              <w:left w:val="single" w:sz="8" w:space="0" w:color="auto"/>
              <w:bottom w:val="nil"/>
              <w:right w:val="nil"/>
            </w:tcBorders>
            <w:shd w:val="clear" w:color="auto" w:fill="auto"/>
            <w:noWrap/>
            <w:vAlign w:val="center"/>
          </w:tcPr>
          <w:p w:rsidR="007E42E3" w:rsidRPr="00BF34B8" w:rsidRDefault="007E42E3" w:rsidP="007E42E3">
            <w:pPr>
              <w:rPr>
                <w:rFonts w:ascii="Garamond" w:hAnsi="Garamond" w:cs="Calibri"/>
                <w:b/>
                <w:bCs/>
                <w:sz w:val="20"/>
                <w:szCs w:val="20"/>
              </w:rPr>
            </w:pPr>
            <w:r w:rsidRPr="0005678C">
              <w:rPr>
                <w:rFonts w:ascii="Garamond" w:hAnsi="Garamond" w:cs="Calibri"/>
                <w:sz w:val="20"/>
                <w:szCs w:val="20"/>
              </w:rPr>
              <w:t>BSE India Limited</w:t>
            </w:r>
          </w:p>
        </w:tc>
        <w:tc>
          <w:tcPr>
            <w:tcW w:w="1323" w:type="dxa"/>
            <w:tcBorders>
              <w:top w:val="nil"/>
              <w:left w:val="single" w:sz="4" w:space="0" w:color="auto"/>
              <w:bottom w:val="nil"/>
              <w:right w:val="single" w:sz="4" w:space="0" w:color="auto"/>
            </w:tcBorders>
            <w:shd w:val="clear" w:color="auto" w:fill="auto"/>
            <w:noWrap/>
            <w:vAlign w:val="bottom"/>
          </w:tcPr>
          <w:p w:rsidR="007E42E3" w:rsidRPr="001F1950" w:rsidRDefault="007E42E3" w:rsidP="007E42E3">
            <w:pPr>
              <w:jc w:val="right"/>
              <w:rPr>
                <w:rFonts w:ascii="Garamond" w:hAnsi="Garamond" w:cs="Calibri"/>
                <w:sz w:val="20"/>
                <w:szCs w:val="20"/>
              </w:rPr>
            </w:pPr>
            <w:r w:rsidRPr="0005678C">
              <w:rPr>
                <w:rFonts w:ascii="Garamond" w:hAnsi="Garamond" w:cs="Calibri"/>
                <w:sz w:val="20"/>
                <w:szCs w:val="20"/>
              </w:rPr>
              <w:t>36,524,837</w:t>
            </w:r>
          </w:p>
        </w:tc>
        <w:tc>
          <w:tcPr>
            <w:tcW w:w="988" w:type="dxa"/>
            <w:tcBorders>
              <w:top w:val="nil"/>
              <w:left w:val="nil"/>
              <w:bottom w:val="nil"/>
              <w:right w:val="nil"/>
            </w:tcBorders>
            <w:shd w:val="clear" w:color="auto" w:fill="auto"/>
            <w:noWrap/>
            <w:vAlign w:val="bottom"/>
          </w:tcPr>
          <w:p w:rsidR="007E42E3" w:rsidRPr="001F1950" w:rsidRDefault="007E42E3" w:rsidP="007E42E3">
            <w:pPr>
              <w:jc w:val="right"/>
              <w:rPr>
                <w:rFonts w:ascii="Garamond" w:hAnsi="Garamond" w:cs="Calibri"/>
                <w:sz w:val="20"/>
                <w:szCs w:val="20"/>
              </w:rPr>
            </w:pPr>
            <w:r w:rsidRPr="0005678C">
              <w:rPr>
                <w:rFonts w:ascii="Garamond" w:hAnsi="Garamond" w:cs="Calibri"/>
                <w:sz w:val="20"/>
                <w:szCs w:val="20"/>
              </w:rPr>
              <w:t>36,437</w:t>
            </w:r>
          </w:p>
        </w:tc>
        <w:tc>
          <w:tcPr>
            <w:tcW w:w="1074" w:type="dxa"/>
            <w:tcBorders>
              <w:top w:val="nil"/>
              <w:left w:val="single" w:sz="4" w:space="0" w:color="auto"/>
              <w:bottom w:val="nil"/>
              <w:right w:val="single" w:sz="4" w:space="0" w:color="auto"/>
            </w:tcBorders>
            <w:shd w:val="clear" w:color="auto" w:fill="auto"/>
            <w:noWrap/>
            <w:vAlign w:val="bottom"/>
          </w:tcPr>
          <w:p w:rsidR="007E42E3" w:rsidRPr="001F1950" w:rsidRDefault="007E42E3" w:rsidP="007E42E3">
            <w:pPr>
              <w:jc w:val="right"/>
              <w:rPr>
                <w:rFonts w:ascii="Garamond" w:hAnsi="Garamond" w:cs="Calibri"/>
                <w:sz w:val="20"/>
                <w:szCs w:val="20"/>
              </w:rPr>
            </w:pPr>
            <w:r w:rsidRPr="0005678C">
              <w:rPr>
                <w:rFonts w:ascii="Garamond" w:hAnsi="Garamond" w:cs="Calibri"/>
                <w:sz w:val="20"/>
                <w:szCs w:val="20"/>
              </w:rPr>
              <w:t>NA</w:t>
            </w:r>
          </w:p>
        </w:tc>
        <w:tc>
          <w:tcPr>
            <w:tcW w:w="1150" w:type="dxa"/>
            <w:tcBorders>
              <w:top w:val="nil"/>
              <w:left w:val="nil"/>
              <w:bottom w:val="nil"/>
              <w:right w:val="nil"/>
            </w:tcBorders>
            <w:shd w:val="clear" w:color="auto" w:fill="auto"/>
            <w:noWrap/>
            <w:vAlign w:val="bottom"/>
          </w:tcPr>
          <w:p w:rsidR="007E42E3" w:rsidRPr="001F1950" w:rsidRDefault="007E42E3" w:rsidP="007E42E3">
            <w:pPr>
              <w:jc w:val="right"/>
              <w:rPr>
                <w:rFonts w:ascii="Garamond" w:hAnsi="Garamond" w:cs="Calibri"/>
                <w:sz w:val="20"/>
                <w:szCs w:val="20"/>
              </w:rPr>
            </w:pPr>
            <w:r w:rsidRPr="0005678C">
              <w:rPr>
                <w:rFonts w:ascii="Garamond" w:hAnsi="Garamond" w:cs="Calibri"/>
                <w:sz w:val="20"/>
                <w:szCs w:val="20"/>
              </w:rPr>
              <w:t>51,709,724</w:t>
            </w:r>
          </w:p>
        </w:tc>
        <w:tc>
          <w:tcPr>
            <w:tcW w:w="1056" w:type="dxa"/>
            <w:tcBorders>
              <w:top w:val="nil"/>
              <w:left w:val="single" w:sz="4" w:space="0" w:color="auto"/>
              <w:bottom w:val="nil"/>
              <w:right w:val="single" w:sz="4" w:space="0" w:color="auto"/>
            </w:tcBorders>
            <w:shd w:val="clear" w:color="auto" w:fill="auto"/>
            <w:noWrap/>
            <w:vAlign w:val="bottom"/>
          </w:tcPr>
          <w:p w:rsidR="007E42E3" w:rsidRPr="001F1950" w:rsidRDefault="007E42E3" w:rsidP="007E42E3">
            <w:pPr>
              <w:jc w:val="right"/>
              <w:rPr>
                <w:rFonts w:ascii="Garamond" w:hAnsi="Garamond" w:cs="Calibri"/>
                <w:sz w:val="20"/>
                <w:szCs w:val="20"/>
              </w:rPr>
            </w:pPr>
            <w:r w:rsidRPr="0005678C">
              <w:rPr>
                <w:rFonts w:ascii="Garamond" w:hAnsi="Garamond" w:cs="Calibri"/>
                <w:sz w:val="20"/>
                <w:szCs w:val="20"/>
              </w:rPr>
              <w:t>50,937</w:t>
            </w:r>
          </w:p>
        </w:tc>
        <w:tc>
          <w:tcPr>
            <w:tcW w:w="1071" w:type="dxa"/>
            <w:tcBorders>
              <w:top w:val="nil"/>
              <w:left w:val="nil"/>
              <w:bottom w:val="nil"/>
              <w:right w:val="single" w:sz="8" w:space="0" w:color="auto"/>
            </w:tcBorders>
            <w:shd w:val="clear" w:color="auto" w:fill="auto"/>
            <w:noWrap/>
            <w:vAlign w:val="bottom"/>
          </w:tcPr>
          <w:p w:rsidR="007E42E3" w:rsidRPr="001F1950" w:rsidRDefault="007E42E3" w:rsidP="007E42E3">
            <w:pPr>
              <w:jc w:val="right"/>
              <w:rPr>
                <w:rFonts w:ascii="Garamond" w:hAnsi="Garamond" w:cs="Calibri"/>
                <w:sz w:val="20"/>
                <w:szCs w:val="20"/>
              </w:rPr>
            </w:pPr>
            <w:r w:rsidRPr="0005678C">
              <w:rPr>
                <w:rFonts w:ascii="Garamond" w:hAnsi="Garamond" w:cs="Calibri"/>
                <w:sz w:val="20"/>
                <w:szCs w:val="20"/>
              </w:rPr>
              <w:t>NA</w:t>
            </w:r>
          </w:p>
        </w:tc>
      </w:tr>
      <w:tr w:rsidR="002240ED" w:rsidRPr="0078121B"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78121B" w:rsidRDefault="002240ED" w:rsidP="002240ED">
            <w:pPr>
              <w:rPr>
                <w:rFonts w:ascii="Garamond" w:hAnsi="Garamond" w:cs="Calibri"/>
                <w:sz w:val="20"/>
                <w:szCs w:val="20"/>
              </w:rPr>
            </w:pPr>
            <w:r w:rsidRPr="0078121B">
              <w:rPr>
                <w:rFonts w:ascii="Garamond" w:hAnsi="Garamond" w:cs="Calibri"/>
                <w:sz w:val="20"/>
                <w:szCs w:val="20"/>
              </w:rPr>
              <w:t>Hong Kong Exchanges and Clearing</w:t>
            </w:r>
          </w:p>
        </w:tc>
        <w:tc>
          <w:tcPr>
            <w:tcW w:w="1323"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236,023</w:t>
            </w:r>
          </w:p>
        </w:tc>
        <w:tc>
          <w:tcPr>
            <w:tcW w:w="988"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23,323</w:t>
            </w:r>
          </w:p>
        </w:tc>
        <w:tc>
          <w:tcPr>
            <w:tcW w:w="1074"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28,191</w:t>
            </w:r>
          </w:p>
        </w:tc>
        <w:tc>
          <w:tcPr>
            <w:tcW w:w="1150"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2,032</w:t>
            </w:r>
          </w:p>
        </w:tc>
        <w:tc>
          <w:tcPr>
            <w:tcW w:w="1056"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202</w:t>
            </w:r>
          </w:p>
        </w:tc>
        <w:tc>
          <w:tcPr>
            <w:tcW w:w="1071" w:type="dxa"/>
            <w:tcBorders>
              <w:top w:val="nil"/>
              <w:left w:val="nil"/>
              <w:bottom w:val="nil"/>
              <w:right w:val="single" w:sz="8"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4,057</w:t>
            </w:r>
          </w:p>
        </w:tc>
      </w:tr>
      <w:tr w:rsidR="002240ED" w:rsidRPr="0078121B"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78121B" w:rsidRDefault="002240ED" w:rsidP="002240ED">
            <w:pPr>
              <w:rPr>
                <w:rFonts w:ascii="Garamond" w:hAnsi="Garamond" w:cs="Calibri"/>
                <w:sz w:val="20"/>
                <w:szCs w:val="20"/>
              </w:rPr>
            </w:pPr>
            <w:r w:rsidRPr="0078121B">
              <w:rPr>
                <w:rFonts w:ascii="Garamond" w:hAnsi="Garamond" w:cs="Calibri"/>
                <w:sz w:val="20"/>
                <w:szCs w:val="20"/>
              </w:rPr>
              <w:t>Korea Exchange</w:t>
            </w:r>
          </w:p>
        </w:tc>
        <w:tc>
          <w:tcPr>
            <w:tcW w:w="1323"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8,678,620</w:t>
            </w:r>
          </w:p>
        </w:tc>
        <w:tc>
          <w:tcPr>
            <w:tcW w:w="988"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86,781</w:t>
            </w:r>
          </w:p>
        </w:tc>
        <w:tc>
          <w:tcPr>
            <w:tcW w:w="1074"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733,022</w:t>
            </w:r>
          </w:p>
        </w:tc>
        <w:tc>
          <w:tcPr>
            <w:tcW w:w="1150"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071" w:type="dxa"/>
            <w:tcBorders>
              <w:top w:val="nil"/>
              <w:left w:val="nil"/>
              <w:bottom w:val="nil"/>
              <w:right w:val="single" w:sz="8" w:space="0" w:color="auto"/>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78121B"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78121B" w:rsidRDefault="002240ED" w:rsidP="002240ED">
            <w:pPr>
              <w:rPr>
                <w:rFonts w:ascii="Garamond" w:hAnsi="Garamond" w:cs="Calibri"/>
                <w:sz w:val="20"/>
                <w:szCs w:val="20"/>
              </w:rPr>
            </w:pPr>
            <w:r w:rsidRPr="0078121B">
              <w:rPr>
                <w:rFonts w:ascii="Garamond" w:hAnsi="Garamond" w:cs="Calibri"/>
                <w:sz w:val="20"/>
                <w:szCs w:val="20"/>
              </w:rPr>
              <w:t>National Stock Exchange of India Limited</w:t>
            </w:r>
          </w:p>
        </w:tc>
        <w:tc>
          <w:tcPr>
            <w:tcW w:w="1323"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67,172,392</w:t>
            </w:r>
          </w:p>
        </w:tc>
        <w:tc>
          <w:tcPr>
            <w:tcW w:w="988"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67,725</w:t>
            </w:r>
          </w:p>
        </w:tc>
        <w:tc>
          <w:tcPr>
            <w:tcW w:w="1074"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3,611,422</w:t>
            </w:r>
          </w:p>
        </w:tc>
        <w:tc>
          <w:tcPr>
            <w:tcW w:w="1150"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76,252,863</w:t>
            </w:r>
          </w:p>
        </w:tc>
        <w:tc>
          <w:tcPr>
            <w:tcW w:w="1056"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76,009</w:t>
            </w:r>
          </w:p>
        </w:tc>
        <w:tc>
          <w:tcPr>
            <w:tcW w:w="1071" w:type="dxa"/>
            <w:tcBorders>
              <w:top w:val="nil"/>
              <w:left w:val="nil"/>
              <w:bottom w:val="nil"/>
              <w:right w:val="single" w:sz="8"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2,650,991</w:t>
            </w:r>
          </w:p>
        </w:tc>
      </w:tr>
      <w:tr w:rsidR="002240ED" w:rsidRPr="0078121B"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78121B" w:rsidRDefault="002240ED" w:rsidP="002240ED">
            <w:pPr>
              <w:rPr>
                <w:rFonts w:ascii="Garamond" w:hAnsi="Garamond" w:cs="Calibri"/>
                <w:sz w:val="20"/>
                <w:szCs w:val="20"/>
              </w:rPr>
            </w:pPr>
            <w:r w:rsidRPr="0078121B">
              <w:rPr>
                <w:rFonts w:ascii="Garamond" w:hAnsi="Garamond" w:cs="Calibri"/>
                <w:sz w:val="20"/>
                <w:szCs w:val="20"/>
              </w:rPr>
              <w:t>Singapore Exchange</w:t>
            </w:r>
          </w:p>
        </w:tc>
        <w:tc>
          <w:tcPr>
            <w:tcW w:w="1323"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2,623,893</w:t>
            </w:r>
          </w:p>
        </w:tc>
        <w:tc>
          <w:tcPr>
            <w:tcW w:w="988"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074"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126,020</w:t>
            </w:r>
          </w:p>
        </w:tc>
        <w:tc>
          <w:tcPr>
            <w:tcW w:w="1150"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071" w:type="dxa"/>
            <w:tcBorders>
              <w:top w:val="nil"/>
              <w:left w:val="nil"/>
              <w:bottom w:val="nil"/>
              <w:right w:val="single" w:sz="8" w:space="0" w:color="auto"/>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78121B"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78121B" w:rsidRDefault="002240ED" w:rsidP="002240ED">
            <w:pPr>
              <w:rPr>
                <w:rFonts w:ascii="Garamond" w:hAnsi="Garamond" w:cs="Calibri"/>
                <w:sz w:val="20"/>
                <w:szCs w:val="20"/>
              </w:rPr>
            </w:pPr>
            <w:r w:rsidRPr="0078121B">
              <w:rPr>
                <w:rFonts w:ascii="Garamond" w:hAnsi="Garamond" w:cs="Calibri"/>
                <w:sz w:val="20"/>
                <w:szCs w:val="20"/>
              </w:rPr>
              <w:t>Taiwan Futures Exchange</w:t>
            </w:r>
          </w:p>
        </w:tc>
        <w:tc>
          <w:tcPr>
            <w:tcW w:w="1323"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83,568</w:t>
            </w:r>
          </w:p>
        </w:tc>
        <w:tc>
          <w:tcPr>
            <w:tcW w:w="988"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2,167</w:t>
            </w:r>
          </w:p>
        </w:tc>
        <w:tc>
          <w:tcPr>
            <w:tcW w:w="1074"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6,191</w:t>
            </w:r>
          </w:p>
        </w:tc>
        <w:tc>
          <w:tcPr>
            <w:tcW w:w="1150"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5,120</w:t>
            </w:r>
          </w:p>
        </w:tc>
        <w:tc>
          <w:tcPr>
            <w:tcW w:w="1056"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135</w:t>
            </w:r>
          </w:p>
        </w:tc>
        <w:tc>
          <w:tcPr>
            <w:tcW w:w="1071" w:type="dxa"/>
            <w:tcBorders>
              <w:top w:val="nil"/>
              <w:left w:val="nil"/>
              <w:bottom w:val="nil"/>
              <w:right w:val="single" w:sz="8"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4,387</w:t>
            </w:r>
          </w:p>
        </w:tc>
      </w:tr>
      <w:tr w:rsidR="002240ED" w:rsidRPr="0078121B"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78121B" w:rsidRDefault="002240ED" w:rsidP="002240ED">
            <w:pPr>
              <w:rPr>
                <w:rFonts w:ascii="Garamond" w:hAnsi="Garamond" w:cs="Calibri"/>
                <w:sz w:val="20"/>
                <w:szCs w:val="20"/>
              </w:rPr>
            </w:pPr>
            <w:r w:rsidRPr="0078121B">
              <w:rPr>
                <w:rFonts w:ascii="Garamond" w:hAnsi="Garamond" w:cs="Calibri"/>
                <w:sz w:val="20"/>
                <w:szCs w:val="20"/>
              </w:rPr>
              <w:t>Thailand Futures Exchange</w:t>
            </w:r>
          </w:p>
        </w:tc>
        <w:tc>
          <w:tcPr>
            <w:tcW w:w="1323"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40,884</w:t>
            </w:r>
          </w:p>
        </w:tc>
        <w:tc>
          <w:tcPr>
            <w:tcW w:w="988"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074"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29,134</w:t>
            </w:r>
          </w:p>
        </w:tc>
        <w:tc>
          <w:tcPr>
            <w:tcW w:w="1150"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071" w:type="dxa"/>
            <w:tcBorders>
              <w:top w:val="nil"/>
              <w:left w:val="nil"/>
              <w:bottom w:val="nil"/>
              <w:right w:val="single" w:sz="8" w:space="0" w:color="auto"/>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BF34B8" w:rsidTr="007E42E3">
        <w:trPr>
          <w:trHeight w:val="255"/>
          <w:jc w:val="center"/>
        </w:trPr>
        <w:tc>
          <w:tcPr>
            <w:tcW w:w="3215" w:type="dxa"/>
            <w:tcBorders>
              <w:top w:val="nil"/>
              <w:left w:val="single" w:sz="8" w:space="0" w:color="auto"/>
              <w:bottom w:val="nil"/>
              <w:right w:val="nil"/>
            </w:tcBorders>
            <w:shd w:val="clear" w:color="000000" w:fill="B8CCE4"/>
            <w:noWrap/>
            <w:vAlign w:val="center"/>
            <w:hideMark/>
          </w:tcPr>
          <w:p w:rsidR="002240ED" w:rsidRPr="00BF34B8" w:rsidRDefault="002240ED" w:rsidP="002240ED">
            <w:pPr>
              <w:rPr>
                <w:rFonts w:ascii="Garamond" w:hAnsi="Garamond" w:cs="Calibri"/>
                <w:b/>
                <w:bCs/>
                <w:sz w:val="20"/>
                <w:szCs w:val="20"/>
              </w:rPr>
            </w:pPr>
            <w:r w:rsidRPr="00BF34B8">
              <w:rPr>
                <w:rFonts w:ascii="Garamond" w:hAnsi="Garamond" w:cs="Calibri"/>
                <w:b/>
                <w:bCs/>
                <w:sz w:val="20"/>
                <w:szCs w:val="20"/>
              </w:rPr>
              <w:t>Europe - Africa - Middle East</w:t>
            </w:r>
          </w:p>
        </w:tc>
        <w:tc>
          <w:tcPr>
            <w:tcW w:w="1323" w:type="dxa"/>
            <w:tcBorders>
              <w:top w:val="nil"/>
              <w:left w:val="single" w:sz="4" w:space="0" w:color="auto"/>
              <w:bottom w:val="nil"/>
              <w:right w:val="single" w:sz="4" w:space="0" w:color="auto"/>
            </w:tcBorders>
            <w:shd w:val="clear" w:color="000000"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60,127,768</w:t>
            </w:r>
          </w:p>
        </w:tc>
        <w:tc>
          <w:tcPr>
            <w:tcW w:w="988" w:type="dxa"/>
            <w:tcBorders>
              <w:top w:val="nil"/>
              <w:left w:val="nil"/>
              <w:bottom w:val="nil"/>
              <w:right w:val="nil"/>
            </w:tcBorders>
            <w:shd w:val="clear" w:color="000000"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57,109</w:t>
            </w:r>
          </w:p>
        </w:tc>
        <w:tc>
          <w:tcPr>
            <w:tcW w:w="1074" w:type="dxa"/>
            <w:tcBorders>
              <w:top w:val="nil"/>
              <w:left w:val="single" w:sz="4" w:space="0" w:color="auto"/>
              <w:bottom w:val="nil"/>
              <w:right w:val="single" w:sz="4" w:space="0" w:color="auto"/>
            </w:tcBorders>
            <w:shd w:val="clear" w:color="000000"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6,362,824</w:t>
            </w:r>
          </w:p>
        </w:tc>
        <w:tc>
          <w:tcPr>
            <w:tcW w:w="1150" w:type="dxa"/>
            <w:tcBorders>
              <w:top w:val="nil"/>
              <w:left w:val="nil"/>
              <w:bottom w:val="nil"/>
              <w:right w:val="nil"/>
            </w:tcBorders>
            <w:shd w:val="clear" w:color="000000"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3,923,074</w:t>
            </w:r>
          </w:p>
        </w:tc>
        <w:tc>
          <w:tcPr>
            <w:tcW w:w="1056" w:type="dxa"/>
            <w:tcBorders>
              <w:top w:val="nil"/>
              <w:left w:val="single" w:sz="4" w:space="0" w:color="auto"/>
              <w:bottom w:val="nil"/>
              <w:right w:val="single" w:sz="4" w:space="0" w:color="auto"/>
            </w:tcBorders>
            <w:shd w:val="clear" w:color="000000"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14,784</w:t>
            </w:r>
          </w:p>
        </w:tc>
        <w:tc>
          <w:tcPr>
            <w:tcW w:w="1071" w:type="dxa"/>
            <w:tcBorders>
              <w:top w:val="nil"/>
              <w:left w:val="nil"/>
              <w:bottom w:val="nil"/>
              <w:right w:val="single" w:sz="8" w:space="0" w:color="auto"/>
            </w:tcBorders>
            <w:shd w:val="clear" w:color="000000"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2,802,550</w:t>
            </w:r>
          </w:p>
        </w:tc>
      </w:tr>
      <w:tr w:rsidR="002240ED" w:rsidRPr="0078121B"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78121B" w:rsidRDefault="002240ED" w:rsidP="002240ED">
            <w:pPr>
              <w:rPr>
                <w:rFonts w:ascii="Garamond" w:hAnsi="Garamond" w:cs="Calibri"/>
                <w:sz w:val="20"/>
                <w:szCs w:val="20"/>
              </w:rPr>
            </w:pPr>
            <w:r w:rsidRPr="0078121B">
              <w:rPr>
                <w:rFonts w:ascii="Garamond" w:hAnsi="Garamond" w:cs="Calibri"/>
                <w:sz w:val="20"/>
                <w:szCs w:val="20"/>
              </w:rPr>
              <w:t>Borsa Istanbul</w:t>
            </w:r>
          </w:p>
        </w:tc>
        <w:tc>
          <w:tcPr>
            <w:tcW w:w="1323"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5,140,967</w:t>
            </w:r>
          </w:p>
        </w:tc>
        <w:tc>
          <w:tcPr>
            <w:tcW w:w="988"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5,085</w:t>
            </w:r>
          </w:p>
        </w:tc>
        <w:tc>
          <w:tcPr>
            <w:tcW w:w="1074"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2,089,656</w:t>
            </w:r>
          </w:p>
        </w:tc>
        <w:tc>
          <w:tcPr>
            <w:tcW w:w="1150"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234,958</w:t>
            </w:r>
          </w:p>
        </w:tc>
        <w:tc>
          <w:tcPr>
            <w:tcW w:w="1056"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232</w:t>
            </w:r>
          </w:p>
        </w:tc>
        <w:tc>
          <w:tcPr>
            <w:tcW w:w="1071" w:type="dxa"/>
            <w:tcBorders>
              <w:top w:val="nil"/>
              <w:left w:val="nil"/>
              <w:bottom w:val="nil"/>
              <w:right w:val="single" w:sz="8"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183,612</w:t>
            </w:r>
          </w:p>
        </w:tc>
      </w:tr>
      <w:tr w:rsidR="002240ED" w:rsidRPr="0078121B"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78121B" w:rsidRDefault="002240ED" w:rsidP="002240ED">
            <w:pPr>
              <w:rPr>
                <w:rFonts w:ascii="Garamond" w:hAnsi="Garamond" w:cs="Calibri"/>
                <w:sz w:val="20"/>
                <w:szCs w:val="20"/>
              </w:rPr>
            </w:pPr>
            <w:r w:rsidRPr="0078121B">
              <w:rPr>
                <w:rFonts w:ascii="Garamond" w:hAnsi="Garamond" w:cs="Calibri"/>
                <w:sz w:val="20"/>
                <w:szCs w:val="20"/>
              </w:rPr>
              <w:t>Budapest Stock Exchange</w:t>
            </w:r>
          </w:p>
        </w:tc>
        <w:tc>
          <w:tcPr>
            <w:tcW w:w="1323"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462,757</w:t>
            </w:r>
          </w:p>
        </w:tc>
        <w:tc>
          <w:tcPr>
            <w:tcW w:w="988"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490</w:t>
            </w:r>
          </w:p>
        </w:tc>
        <w:tc>
          <w:tcPr>
            <w:tcW w:w="1074"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760,984</w:t>
            </w:r>
          </w:p>
        </w:tc>
        <w:tc>
          <w:tcPr>
            <w:tcW w:w="1150"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7,500</w:t>
            </w:r>
          </w:p>
        </w:tc>
        <w:tc>
          <w:tcPr>
            <w:tcW w:w="1056"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8</w:t>
            </w:r>
          </w:p>
        </w:tc>
        <w:tc>
          <w:tcPr>
            <w:tcW w:w="1071" w:type="dxa"/>
            <w:tcBorders>
              <w:top w:val="nil"/>
              <w:left w:val="nil"/>
              <w:bottom w:val="nil"/>
              <w:right w:val="single" w:sz="8"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13,000</w:t>
            </w:r>
          </w:p>
        </w:tc>
      </w:tr>
      <w:tr w:rsidR="002240ED" w:rsidRPr="0078121B"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78121B" w:rsidRDefault="002240ED" w:rsidP="002240ED">
            <w:pPr>
              <w:rPr>
                <w:rFonts w:ascii="Garamond" w:hAnsi="Garamond" w:cs="Calibri"/>
                <w:sz w:val="20"/>
                <w:szCs w:val="20"/>
              </w:rPr>
            </w:pPr>
            <w:r w:rsidRPr="0078121B">
              <w:rPr>
                <w:rFonts w:ascii="Garamond" w:hAnsi="Garamond" w:cs="Calibri"/>
                <w:sz w:val="20"/>
                <w:szCs w:val="20"/>
              </w:rPr>
              <w:t>Dubai Gold and Commodities Exchange</w:t>
            </w:r>
          </w:p>
        </w:tc>
        <w:tc>
          <w:tcPr>
            <w:tcW w:w="1323"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3,050,189</w:t>
            </w:r>
          </w:p>
        </w:tc>
        <w:tc>
          <w:tcPr>
            <w:tcW w:w="988"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074"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393,334</w:t>
            </w:r>
          </w:p>
        </w:tc>
        <w:tc>
          <w:tcPr>
            <w:tcW w:w="1150"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3,302</w:t>
            </w:r>
          </w:p>
        </w:tc>
        <w:tc>
          <w:tcPr>
            <w:tcW w:w="1056"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071" w:type="dxa"/>
            <w:tcBorders>
              <w:top w:val="nil"/>
              <w:left w:val="nil"/>
              <w:bottom w:val="nil"/>
              <w:right w:val="single" w:sz="8"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550</w:t>
            </w:r>
          </w:p>
        </w:tc>
      </w:tr>
      <w:tr w:rsidR="002240ED" w:rsidRPr="0078121B"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78121B" w:rsidRDefault="002240ED" w:rsidP="002240ED">
            <w:pPr>
              <w:rPr>
                <w:rFonts w:ascii="Garamond" w:hAnsi="Garamond" w:cs="Calibri"/>
                <w:sz w:val="20"/>
                <w:szCs w:val="20"/>
              </w:rPr>
            </w:pPr>
            <w:r w:rsidRPr="0078121B">
              <w:rPr>
                <w:rFonts w:ascii="Garamond" w:hAnsi="Garamond" w:cs="Calibri"/>
                <w:sz w:val="20"/>
                <w:szCs w:val="20"/>
              </w:rPr>
              <w:t>Johannesburg Stock Exchange</w:t>
            </w:r>
          </w:p>
        </w:tc>
        <w:tc>
          <w:tcPr>
            <w:tcW w:w="1323"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988"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074"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150"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071" w:type="dxa"/>
            <w:tcBorders>
              <w:top w:val="nil"/>
              <w:left w:val="nil"/>
              <w:bottom w:val="nil"/>
              <w:right w:val="single" w:sz="8" w:space="0" w:color="auto"/>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78121B"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78121B" w:rsidRDefault="002240ED" w:rsidP="002240ED">
            <w:pPr>
              <w:rPr>
                <w:rFonts w:ascii="Garamond" w:hAnsi="Garamond" w:cs="Calibri"/>
                <w:sz w:val="20"/>
                <w:szCs w:val="20"/>
              </w:rPr>
            </w:pPr>
            <w:r w:rsidRPr="0078121B">
              <w:rPr>
                <w:rFonts w:ascii="Garamond" w:hAnsi="Garamond" w:cs="Calibri"/>
                <w:sz w:val="20"/>
                <w:szCs w:val="20"/>
              </w:rPr>
              <w:t>Moscow Exchange</w:t>
            </w:r>
          </w:p>
        </w:tc>
        <w:tc>
          <w:tcPr>
            <w:tcW w:w="1323"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51,473,855</w:t>
            </w:r>
          </w:p>
        </w:tc>
        <w:tc>
          <w:tcPr>
            <w:tcW w:w="988"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51,533</w:t>
            </w:r>
          </w:p>
        </w:tc>
        <w:tc>
          <w:tcPr>
            <w:tcW w:w="1074"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3,118,850</w:t>
            </w:r>
          </w:p>
        </w:tc>
        <w:tc>
          <w:tcPr>
            <w:tcW w:w="1150"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2,463,200</w:t>
            </w:r>
          </w:p>
        </w:tc>
        <w:tc>
          <w:tcPr>
            <w:tcW w:w="1056"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2,443</w:t>
            </w:r>
          </w:p>
        </w:tc>
        <w:tc>
          <w:tcPr>
            <w:tcW w:w="1071" w:type="dxa"/>
            <w:tcBorders>
              <w:top w:val="nil"/>
              <w:left w:val="nil"/>
              <w:bottom w:val="nil"/>
              <w:right w:val="single" w:sz="8"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2,108,170</w:t>
            </w:r>
          </w:p>
        </w:tc>
      </w:tr>
      <w:tr w:rsidR="002240ED" w:rsidRPr="0078121B"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78121B" w:rsidRDefault="002240ED" w:rsidP="002240ED">
            <w:pPr>
              <w:rPr>
                <w:rFonts w:ascii="Garamond" w:hAnsi="Garamond" w:cs="Calibri"/>
                <w:sz w:val="20"/>
                <w:szCs w:val="20"/>
              </w:rPr>
            </w:pPr>
            <w:r w:rsidRPr="0078121B">
              <w:rPr>
                <w:rFonts w:ascii="Garamond" w:hAnsi="Garamond" w:cs="Calibri"/>
                <w:sz w:val="20"/>
                <w:szCs w:val="20"/>
              </w:rPr>
              <w:t>Tel-Aviv Stock Exchange</w:t>
            </w:r>
          </w:p>
        </w:tc>
        <w:tc>
          <w:tcPr>
            <w:tcW w:w="1323"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988"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074"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Pr>
                <w:rFonts w:ascii="Garamond" w:hAnsi="Garamond" w:cs="Calibri"/>
                <w:sz w:val="20"/>
                <w:szCs w:val="20"/>
              </w:rPr>
              <w:t>NA</w:t>
            </w:r>
          </w:p>
        </w:tc>
        <w:tc>
          <w:tcPr>
            <w:tcW w:w="1150" w:type="dxa"/>
            <w:tcBorders>
              <w:top w:val="nil"/>
              <w:left w:val="nil"/>
              <w:bottom w:val="nil"/>
              <w:right w:val="nil"/>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1,214,114</w:t>
            </w:r>
          </w:p>
        </w:tc>
        <w:tc>
          <w:tcPr>
            <w:tcW w:w="1056" w:type="dxa"/>
            <w:tcBorders>
              <w:top w:val="nil"/>
              <w:left w:val="single" w:sz="4" w:space="0" w:color="auto"/>
              <w:bottom w:val="nil"/>
              <w:right w:val="single" w:sz="4"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12,101</w:t>
            </w:r>
          </w:p>
        </w:tc>
        <w:tc>
          <w:tcPr>
            <w:tcW w:w="1071" w:type="dxa"/>
            <w:tcBorders>
              <w:top w:val="nil"/>
              <w:left w:val="nil"/>
              <w:bottom w:val="nil"/>
              <w:right w:val="single" w:sz="8" w:space="0" w:color="auto"/>
            </w:tcBorders>
            <w:shd w:val="clear" w:color="auto" w:fill="auto"/>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497,218</w:t>
            </w:r>
          </w:p>
        </w:tc>
      </w:tr>
      <w:tr w:rsidR="002240ED" w:rsidRPr="00BF34B8" w:rsidTr="007E42E3">
        <w:trPr>
          <w:trHeight w:val="270"/>
          <w:jc w:val="center"/>
        </w:trPr>
        <w:tc>
          <w:tcPr>
            <w:tcW w:w="3215" w:type="dxa"/>
            <w:tcBorders>
              <w:top w:val="single" w:sz="4" w:space="0" w:color="95B3D7"/>
              <w:left w:val="single" w:sz="8" w:space="0" w:color="auto"/>
              <w:bottom w:val="single" w:sz="8" w:space="0" w:color="auto"/>
              <w:right w:val="nil"/>
            </w:tcBorders>
            <w:shd w:val="clear" w:color="DBE5F1" w:fill="B8CCE4"/>
            <w:noWrap/>
            <w:vAlign w:val="center"/>
            <w:hideMark/>
          </w:tcPr>
          <w:p w:rsidR="002240ED" w:rsidRPr="00BF34B8" w:rsidRDefault="002240ED" w:rsidP="002240ED">
            <w:pPr>
              <w:rPr>
                <w:rFonts w:ascii="Garamond" w:hAnsi="Garamond" w:cs="Calibri"/>
                <w:b/>
                <w:bCs/>
                <w:sz w:val="20"/>
                <w:szCs w:val="20"/>
              </w:rPr>
            </w:pPr>
            <w:r w:rsidRPr="00BF34B8">
              <w:rPr>
                <w:rFonts w:ascii="Garamond" w:hAnsi="Garamond" w:cs="Calibri"/>
                <w:b/>
                <w:bCs/>
                <w:sz w:val="20"/>
                <w:szCs w:val="20"/>
              </w:rPr>
              <w:t>Grand Total</w:t>
            </w:r>
          </w:p>
        </w:tc>
        <w:tc>
          <w:tcPr>
            <w:tcW w:w="1323" w:type="dxa"/>
            <w:tcBorders>
              <w:top w:val="single" w:sz="4" w:space="0" w:color="95B3D7"/>
              <w:left w:val="single" w:sz="4" w:space="0" w:color="auto"/>
              <w:bottom w:val="single" w:sz="8" w:space="0" w:color="auto"/>
              <w:right w:val="single" w:sz="4" w:space="0" w:color="auto"/>
            </w:tcBorders>
            <w:shd w:val="clear" w:color="DBE5F1"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262,718,902</w:t>
            </w:r>
          </w:p>
        </w:tc>
        <w:tc>
          <w:tcPr>
            <w:tcW w:w="988" w:type="dxa"/>
            <w:tcBorders>
              <w:top w:val="single" w:sz="4" w:space="0" w:color="95B3D7"/>
              <w:left w:val="nil"/>
              <w:bottom w:val="single" w:sz="8" w:space="0" w:color="auto"/>
              <w:right w:val="nil"/>
            </w:tcBorders>
            <w:shd w:val="clear" w:color="DBE5F1"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2,793,590</w:t>
            </w:r>
          </w:p>
        </w:tc>
        <w:tc>
          <w:tcPr>
            <w:tcW w:w="1074" w:type="dxa"/>
            <w:tcBorders>
              <w:top w:val="single" w:sz="4" w:space="0" w:color="95B3D7"/>
              <w:left w:val="single" w:sz="4" w:space="0" w:color="auto"/>
              <w:bottom w:val="single" w:sz="8" w:space="0" w:color="auto"/>
              <w:right w:val="single" w:sz="4" w:space="0" w:color="auto"/>
            </w:tcBorders>
            <w:shd w:val="clear" w:color="DBE5F1"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21,564,835</w:t>
            </w:r>
          </w:p>
        </w:tc>
        <w:tc>
          <w:tcPr>
            <w:tcW w:w="1150" w:type="dxa"/>
            <w:tcBorders>
              <w:top w:val="single" w:sz="4" w:space="0" w:color="95B3D7"/>
              <w:left w:val="nil"/>
              <w:bottom w:val="single" w:sz="8" w:space="0" w:color="auto"/>
              <w:right w:val="nil"/>
            </w:tcBorders>
            <w:shd w:val="clear" w:color="DBE5F1"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133,945,056</w:t>
            </w:r>
          </w:p>
        </w:tc>
        <w:tc>
          <w:tcPr>
            <w:tcW w:w="1056" w:type="dxa"/>
            <w:tcBorders>
              <w:top w:val="single" w:sz="4" w:space="0" w:color="95B3D7"/>
              <w:left w:val="single" w:sz="4" w:space="0" w:color="auto"/>
              <w:bottom w:val="single" w:sz="8" w:space="0" w:color="auto"/>
              <w:right w:val="single" w:sz="4" w:space="0" w:color="auto"/>
            </w:tcBorders>
            <w:shd w:val="clear" w:color="DBE5F1"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280,232</w:t>
            </w:r>
          </w:p>
        </w:tc>
        <w:tc>
          <w:tcPr>
            <w:tcW w:w="1071" w:type="dxa"/>
            <w:tcBorders>
              <w:top w:val="single" w:sz="4" w:space="0" w:color="95B3D7"/>
              <w:left w:val="nil"/>
              <w:bottom w:val="single" w:sz="8" w:space="0" w:color="auto"/>
              <w:right w:val="single" w:sz="8" w:space="0" w:color="auto"/>
            </w:tcBorders>
            <w:shd w:val="clear" w:color="DBE5F1" w:fill="B8CCE4"/>
            <w:noWrap/>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7,114,513</w:t>
            </w:r>
          </w:p>
        </w:tc>
      </w:tr>
    </w:tbl>
    <w:p w:rsidR="002240ED" w:rsidRPr="0078121B" w:rsidRDefault="002240ED" w:rsidP="002240ED">
      <w:pPr>
        <w:tabs>
          <w:tab w:val="left" w:pos="3306"/>
          <w:tab w:val="left" w:pos="4629"/>
          <w:tab w:val="left" w:pos="5685"/>
          <w:tab w:val="left" w:pos="6759"/>
          <w:tab w:val="left" w:pos="7923"/>
          <w:tab w:val="left" w:pos="8994"/>
        </w:tabs>
        <w:ind w:left="91"/>
        <w:rPr>
          <w:rFonts w:ascii="Garamond" w:eastAsia="Times New Roman" w:hAnsi="Garamond" w:cs="Calibri"/>
          <w:sz w:val="20"/>
          <w:szCs w:val="20"/>
          <w:lang w:val="en-US"/>
        </w:rPr>
      </w:pPr>
      <w:r w:rsidRPr="0078121B">
        <w:rPr>
          <w:rFonts w:ascii="Garamond" w:eastAsia="Times New Roman" w:hAnsi="Garamond" w:cs="Calibri"/>
          <w:sz w:val="20"/>
          <w:szCs w:val="20"/>
          <w:lang w:val="en-US"/>
        </w:rPr>
        <w:tab/>
      </w:r>
      <w:r w:rsidRPr="0078121B">
        <w:rPr>
          <w:rFonts w:ascii="Garamond" w:eastAsia="Times New Roman" w:hAnsi="Garamond" w:cs="Calibri"/>
          <w:sz w:val="20"/>
          <w:szCs w:val="20"/>
          <w:lang w:val="en-US"/>
        </w:rPr>
        <w:tab/>
      </w:r>
      <w:r w:rsidRPr="0078121B">
        <w:rPr>
          <w:rFonts w:ascii="Garamond" w:eastAsia="Times New Roman" w:hAnsi="Garamond" w:cs="Calibri"/>
          <w:sz w:val="20"/>
          <w:szCs w:val="20"/>
          <w:lang w:val="en-US"/>
        </w:rPr>
        <w:tab/>
      </w:r>
      <w:r w:rsidRPr="0078121B">
        <w:rPr>
          <w:rFonts w:ascii="Garamond" w:eastAsia="Times New Roman" w:hAnsi="Garamond" w:cs="Calibri"/>
          <w:sz w:val="20"/>
          <w:szCs w:val="20"/>
          <w:lang w:val="en-US"/>
        </w:rPr>
        <w:tab/>
      </w:r>
      <w:r w:rsidRPr="0078121B">
        <w:rPr>
          <w:rFonts w:ascii="Garamond" w:eastAsia="Times New Roman" w:hAnsi="Garamond" w:cs="Calibri"/>
          <w:sz w:val="20"/>
          <w:szCs w:val="20"/>
          <w:lang w:val="en-US"/>
        </w:rPr>
        <w:tab/>
      </w:r>
      <w:r w:rsidRPr="0078121B">
        <w:rPr>
          <w:rFonts w:ascii="Garamond" w:eastAsia="Times New Roman" w:hAnsi="Garamond" w:cs="Calibri"/>
          <w:sz w:val="20"/>
          <w:szCs w:val="20"/>
          <w:lang w:val="en-US"/>
        </w:rPr>
        <w:tab/>
      </w:r>
    </w:p>
    <w:p w:rsidR="002240ED" w:rsidRPr="0078121B" w:rsidRDefault="002240ED" w:rsidP="002240ED">
      <w:pPr>
        <w:jc w:val="both"/>
        <w:rPr>
          <w:rFonts w:ascii="Garamond" w:hAnsi="Garamond"/>
          <w:sz w:val="18"/>
        </w:rPr>
      </w:pPr>
      <w:r w:rsidRPr="0078121B">
        <w:rPr>
          <w:rFonts w:ascii="Garamond" w:hAnsi="Garamond"/>
          <w:sz w:val="18"/>
        </w:rPr>
        <w:t>NA: Not Available</w:t>
      </w:r>
    </w:p>
    <w:p w:rsidR="002240ED" w:rsidRPr="0078121B" w:rsidRDefault="002240ED" w:rsidP="002240ED">
      <w:pPr>
        <w:jc w:val="both"/>
        <w:outlineLvl w:val="0"/>
        <w:rPr>
          <w:rFonts w:ascii="Garamond" w:hAnsi="Garamond"/>
          <w:b/>
          <w:sz w:val="18"/>
        </w:rPr>
      </w:pPr>
      <w:r w:rsidRPr="0078121B">
        <w:rPr>
          <w:rFonts w:ascii="Garamond" w:hAnsi="Garamond"/>
          <w:b/>
          <w:sz w:val="18"/>
        </w:rPr>
        <w:t>Source: World Federation of Exchanges</w:t>
      </w:r>
    </w:p>
    <w:p w:rsidR="002240ED" w:rsidRPr="00842D76" w:rsidRDefault="002240ED" w:rsidP="002240ED">
      <w:pPr>
        <w:tabs>
          <w:tab w:val="left" w:pos="3306"/>
          <w:tab w:val="left" w:pos="4629"/>
          <w:tab w:val="left" w:pos="5685"/>
          <w:tab w:val="left" w:pos="6759"/>
          <w:tab w:val="left" w:pos="7923"/>
          <w:tab w:val="left" w:pos="8994"/>
        </w:tabs>
        <w:ind w:left="91"/>
        <w:rPr>
          <w:rFonts w:ascii="Garamond" w:eastAsia="Times New Roman" w:hAnsi="Garamond" w:cs="Calibri"/>
          <w:color w:val="0070C0"/>
          <w:sz w:val="20"/>
          <w:szCs w:val="20"/>
          <w:lang w:val="en-US"/>
        </w:rPr>
      </w:pP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p>
    <w:p w:rsidR="002240ED" w:rsidRPr="00842D76" w:rsidRDefault="002240ED" w:rsidP="002240ED">
      <w:pPr>
        <w:rPr>
          <w:color w:val="0070C0"/>
        </w:rPr>
      </w:pPr>
      <w:r w:rsidRPr="00842D76">
        <w:rPr>
          <w:color w:val="0070C0"/>
        </w:rPr>
        <w:br w:type="page"/>
      </w:r>
    </w:p>
    <w:tbl>
      <w:tblPr>
        <w:tblW w:w="10111" w:type="dxa"/>
        <w:jc w:val="center"/>
        <w:tblLook w:val="04A0" w:firstRow="1" w:lastRow="0" w:firstColumn="1" w:lastColumn="0" w:noHBand="0" w:noVBand="1"/>
      </w:tblPr>
      <w:tblGrid>
        <w:gridCol w:w="3215"/>
        <w:gridCol w:w="1323"/>
        <w:gridCol w:w="1056"/>
        <w:gridCol w:w="1148"/>
        <w:gridCol w:w="1150"/>
        <w:gridCol w:w="1071"/>
        <w:gridCol w:w="1148"/>
      </w:tblGrid>
      <w:tr w:rsidR="002240ED" w:rsidRPr="00D44EC9" w:rsidTr="007E42E3">
        <w:trPr>
          <w:trHeight w:val="270"/>
          <w:jc w:val="center"/>
        </w:trPr>
        <w:tc>
          <w:tcPr>
            <w:tcW w:w="10111" w:type="dxa"/>
            <w:gridSpan w:val="7"/>
            <w:tcBorders>
              <w:top w:val="nil"/>
              <w:left w:val="nil"/>
              <w:bottom w:val="single" w:sz="8" w:space="0" w:color="auto"/>
              <w:right w:val="nil"/>
            </w:tcBorders>
            <w:shd w:val="clear" w:color="auto" w:fill="auto"/>
            <w:noWrap/>
            <w:vAlign w:val="bottom"/>
            <w:hideMark/>
          </w:tcPr>
          <w:p w:rsidR="002240ED" w:rsidRPr="00D44EC9" w:rsidRDefault="002240ED" w:rsidP="002240ED">
            <w:pPr>
              <w:jc w:val="center"/>
              <w:rPr>
                <w:rFonts w:ascii="Garamond" w:eastAsia="Times New Roman" w:hAnsi="Garamond" w:cs="Calibri"/>
                <w:b/>
                <w:bCs/>
                <w:sz w:val="20"/>
                <w:szCs w:val="20"/>
                <w:lang w:val="en-US"/>
              </w:rPr>
            </w:pPr>
            <w:r w:rsidRPr="00D44EC9">
              <w:rPr>
                <w:rFonts w:ascii="Garamond" w:eastAsia="Times New Roman" w:hAnsi="Garamond" w:cs="Calibri"/>
                <w:b/>
                <w:bCs/>
                <w:sz w:val="20"/>
                <w:szCs w:val="20"/>
                <w:lang w:val="en-US"/>
              </w:rPr>
              <w:lastRenderedPageBreak/>
              <w:t>Table A8: Interest Rate Futures and Options Traded in Major Exchanges</w:t>
            </w:r>
          </w:p>
        </w:tc>
      </w:tr>
      <w:tr w:rsidR="002240ED" w:rsidRPr="00D44EC9" w:rsidTr="007E42E3">
        <w:trPr>
          <w:trHeight w:val="270"/>
          <w:jc w:val="center"/>
        </w:trPr>
        <w:tc>
          <w:tcPr>
            <w:tcW w:w="321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2240ED" w:rsidRPr="00D44EC9" w:rsidRDefault="002240ED" w:rsidP="002240ED">
            <w:pPr>
              <w:jc w:val="center"/>
              <w:rPr>
                <w:rFonts w:ascii="Garamond" w:eastAsia="Times New Roman" w:hAnsi="Garamond" w:cs="Calibri"/>
                <w:b/>
                <w:bCs/>
                <w:sz w:val="20"/>
                <w:szCs w:val="20"/>
                <w:lang w:val="en-US"/>
              </w:rPr>
            </w:pPr>
            <w:r w:rsidRPr="00D44EC9">
              <w:rPr>
                <w:rFonts w:ascii="Garamond" w:eastAsia="Times New Roman" w:hAnsi="Garamond" w:cs="Calibri"/>
                <w:b/>
                <w:bCs/>
                <w:sz w:val="20"/>
                <w:szCs w:val="20"/>
                <w:lang w:val="en-US"/>
              </w:rPr>
              <w:t>Exchange</w:t>
            </w:r>
          </w:p>
        </w:tc>
        <w:tc>
          <w:tcPr>
            <w:tcW w:w="6896" w:type="dxa"/>
            <w:gridSpan w:val="6"/>
            <w:tcBorders>
              <w:top w:val="single" w:sz="8" w:space="0" w:color="auto"/>
              <w:left w:val="nil"/>
              <w:bottom w:val="single" w:sz="8" w:space="0" w:color="auto"/>
              <w:right w:val="single" w:sz="8" w:space="0" w:color="000000"/>
            </w:tcBorders>
            <w:shd w:val="clear" w:color="000000" w:fill="B8CCE4"/>
            <w:vAlign w:val="bottom"/>
            <w:hideMark/>
          </w:tcPr>
          <w:p w:rsidR="002240ED" w:rsidRPr="00D44EC9" w:rsidRDefault="002240ED" w:rsidP="002240ED">
            <w:pPr>
              <w:jc w:val="center"/>
              <w:rPr>
                <w:rFonts w:ascii="Garamond" w:eastAsia="Times New Roman" w:hAnsi="Garamond" w:cs="Calibri"/>
                <w:b/>
                <w:bCs/>
                <w:sz w:val="18"/>
                <w:szCs w:val="18"/>
                <w:lang w:val="en-US"/>
              </w:rPr>
            </w:pPr>
            <w:r>
              <w:rPr>
                <w:rFonts w:ascii="Garamond" w:eastAsia="Times New Roman" w:hAnsi="Garamond" w:cs="Calibri"/>
                <w:b/>
                <w:bCs/>
                <w:sz w:val="18"/>
                <w:szCs w:val="18"/>
                <w:lang w:val="en-US"/>
              </w:rPr>
              <w:t>Aug</w:t>
            </w:r>
            <w:r w:rsidRPr="00D44EC9">
              <w:rPr>
                <w:rFonts w:ascii="Garamond" w:eastAsia="Times New Roman" w:hAnsi="Garamond" w:cs="Calibri"/>
                <w:b/>
                <w:bCs/>
                <w:sz w:val="18"/>
                <w:szCs w:val="18"/>
                <w:lang w:val="en-US"/>
              </w:rPr>
              <w:t>-19</w:t>
            </w:r>
          </w:p>
        </w:tc>
      </w:tr>
      <w:tr w:rsidR="002240ED" w:rsidRPr="00D44EC9" w:rsidTr="007E42E3">
        <w:trPr>
          <w:trHeight w:val="315"/>
          <w:jc w:val="center"/>
        </w:trPr>
        <w:tc>
          <w:tcPr>
            <w:tcW w:w="3215" w:type="dxa"/>
            <w:vMerge/>
            <w:tcBorders>
              <w:top w:val="nil"/>
              <w:left w:val="single" w:sz="8" w:space="0" w:color="auto"/>
              <w:bottom w:val="single" w:sz="8" w:space="0" w:color="000000"/>
              <w:right w:val="single" w:sz="8" w:space="0" w:color="auto"/>
            </w:tcBorders>
            <w:vAlign w:val="center"/>
            <w:hideMark/>
          </w:tcPr>
          <w:p w:rsidR="002240ED" w:rsidRPr="00D44EC9" w:rsidRDefault="002240ED" w:rsidP="002240ED">
            <w:pPr>
              <w:rPr>
                <w:rFonts w:ascii="Garamond" w:eastAsia="Times New Roman" w:hAnsi="Garamond" w:cs="Calibri"/>
                <w:b/>
                <w:bCs/>
                <w:sz w:val="20"/>
                <w:szCs w:val="20"/>
                <w:lang w:val="en-US"/>
              </w:rPr>
            </w:pPr>
          </w:p>
        </w:tc>
        <w:tc>
          <w:tcPr>
            <w:tcW w:w="3527" w:type="dxa"/>
            <w:gridSpan w:val="3"/>
            <w:tcBorders>
              <w:top w:val="single" w:sz="8" w:space="0" w:color="auto"/>
              <w:left w:val="nil"/>
              <w:bottom w:val="single" w:sz="8" w:space="0" w:color="auto"/>
              <w:right w:val="single" w:sz="8" w:space="0" w:color="000000"/>
            </w:tcBorders>
            <w:shd w:val="clear" w:color="000000" w:fill="B8CCE4"/>
            <w:vAlign w:val="center"/>
            <w:hideMark/>
          </w:tcPr>
          <w:p w:rsidR="002240ED" w:rsidRPr="00D44EC9" w:rsidRDefault="002240ED" w:rsidP="002240ED">
            <w:pPr>
              <w:jc w:val="center"/>
              <w:rPr>
                <w:rFonts w:ascii="Garamond" w:eastAsia="Times New Roman" w:hAnsi="Garamond" w:cs="Calibri"/>
                <w:b/>
                <w:bCs/>
                <w:sz w:val="20"/>
                <w:szCs w:val="20"/>
                <w:lang w:bidi="hi-IN"/>
              </w:rPr>
            </w:pPr>
            <w:r w:rsidRPr="00D44EC9">
              <w:rPr>
                <w:rFonts w:ascii="Garamond" w:hAnsi="Garamond" w:cs="Calibri"/>
                <w:b/>
                <w:bCs/>
                <w:sz w:val="20"/>
                <w:szCs w:val="20"/>
              </w:rPr>
              <w:t xml:space="preserve"> Interest Rate Futures </w:t>
            </w:r>
          </w:p>
        </w:tc>
        <w:tc>
          <w:tcPr>
            <w:tcW w:w="3369" w:type="dxa"/>
            <w:gridSpan w:val="3"/>
            <w:tcBorders>
              <w:top w:val="single" w:sz="8" w:space="0" w:color="auto"/>
              <w:left w:val="nil"/>
              <w:bottom w:val="single" w:sz="8" w:space="0" w:color="auto"/>
              <w:right w:val="single" w:sz="8" w:space="0" w:color="000000"/>
            </w:tcBorders>
            <w:shd w:val="clear" w:color="000000" w:fill="B8CCE4"/>
            <w:vAlign w:val="center"/>
            <w:hideMark/>
          </w:tcPr>
          <w:p w:rsidR="002240ED" w:rsidRPr="00D44EC9" w:rsidRDefault="002240ED" w:rsidP="002240ED">
            <w:pPr>
              <w:jc w:val="center"/>
              <w:rPr>
                <w:rFonts w:ascii="Garamond" w:hAnsi="Garamond" w:cs="Calibri"/>
                <w:b/>
                <w:bCs/>
                <w:sz w:val="20"/>
                <w:szCs w:val="20"/>
              </w:rPr>
            </w:pPr>
            <w:r w:rsidRPr="00D44EC9">
              <w:rPr>
                <w:rFonts w:ascii="Garamond" w:hAnsi="Garamond" w:cs="Calibri"/>
                <w:b/>
                <w:bCs/>
                <w:sz w:val="20"/>
                <w:szCs w:val="20"/>
              </w:rPr>
              <w:t xml:space="preserve"> Interest Rate Options </w:t>
            </w:r>
          </w:p>
        </w:tc>
      </w:tr>
      <w:tr w:rsidR="002240ED" w:rsidRPr="00D44EC9" w:rsidTr="007E42E3">
        <w:trPr>
          <w:trHeight w:val="795"/>
          <w:jc w:val="center"/>
        </w:trPr>
        <w:tc>
          <w:tcPr>
            <w:tcW w:w="3215" w:type="dxa"/>
            <w:vMerge/>
            <w:tcBorders>
              <w:top w:val="nil"/>
              <w:left w:val="single" w:sz="8" w:space="0" w:color="auto"/>
              <w:bottom w:val="single" w:sz="8" w:space="0" w:color="000000"/>
              <w:right w:val="single" w:sz="8" w:space="0" w:color="auto"/>
            </w:tcBorders>
            <w:vAlign w:val="center"/>
            <w:hideMark/>
          </w:tcPr>
          <w:p w:rsidR="002240ED" w:rsidRPr="00D44EC9" w:rsidRDefault="002240ED" w:rsidP="002240ED">
            <w:pPr>
              <w:rPr>
                <w:rFonts w:ascii="Garamond" w:eastAsia="Times New Roman" w:hAnsi="Garamond" w:cs="Calibri"/>
                <w:b/>
                <w:bCs/>
                <w:sz w:val="20"/>
                <w:szCs w:val="20"/>
                <w:lang w:val="en-US"/>
              </w:rPr>
            </w:pPr>
          </w:p>
        </w:tc>
        <w:tc>
          <w:tcPr>
            <w:tcW w:w="1323"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eastAsia="Times New Roman" w:hAnsi="Garamond" w:cs="Calibri"/>
                <w:b/>
                <w:bCs/>
                <w:sz w:val="20"/>
                <w:szCs w:val="20"/>
                <w:lang w:bidi="hi-IN"/>
              </w:rPr>
            </w:pPr>
            <w:r w:rsidRPr="0010072C">
              <w:rPr>
                <w:rFonts w:ascii="Garamond" w:hAnsi="Garamond" w:cs="Calibri"/>
                <w:b/>
                <w:bCs/>
                <w:sz w:val="20"/>
                <w:szCs w:val="20"/>
              </w:rPr>
              <w:t>Number of Contracts Traded</w:t>
            </w:r>
          </w:p>
        </w:tc>
        <w:tc>
          <w:tcPr>
            <w:tcW w:w="1056"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Notional Value</w:t>
            </w:r>
          </w:p>
        </w:tc>
        <w:tc>
          <w:tcPr>
            <w:tcW w:w="1148"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Open Interest</w:t>
            </w:r>
          </w:p>
        </w:tc>
        <w:tc>
          <w:tcPr>
            <w:tcW w:w="1150"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Number of Contracts Traded</w:t>
            </w:r>
          </w:p>
        </w:tc>
        <w:tc>
          <w:tcPr>
            <w:tcW w:w="1071"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Notional Value</w:t>
            </w:r>
          </w:p>
        </w:tc>
        <w:tc>
          <w:tcPr>
            <w:tcW w:w="1148"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Open Interest</w:t>
            </w:r>
          </w:p>
        </w:tc>
      </w:tr>
      <w:tr w:rsidR="002240ED" w:rsidRPr="00D44EC9" w:rsidTr="007E42E3">
        <w:trPr>
          <w:trHeight w:val="255"/>
          <w:jc w:val="center"/>
        </w:trPr>
        <w:tc>
          <w:tcPr>
            <w:tcW w:w="3215" w:type="dxa"/>
            <w:tcBorders>
              <w:top w:val="nil"/>
              <w:left w:val="single" w:sz="8" w:space="0" w:color="auto"/>
              <w:bottom w:val="nil"/>
              <w:right w:val="nil"/>
            </w:tcBorders>
            <w:shd w:val="clear" w:color="000000" w:fill="B8CCE4"/>
            <w:noWrap/>
            <w:vAlign w:val="center"/>
            <w:hideMark/>
          </w:tcPr>
          <w:p w:rsidR="002240ED" w:rsidRPr="00D44EC9" w:rsidRDefault="002240ED" w:rsidP="002240ED">
            <w:pPr>
              <w:rPr>
                <w:rFonts w:ascii="Garamond" w:eastAsia="Times New Roman" w:hAnsi="Garamond" w:cs="Calibri"/>
                <w:b/>
                <w:bCs/>
                <w:sz w:val="20"/>
                <w:szCs w:val="20"/>
                <w:lang w:bidi="hi-IN"/>
              </w:rPr>
            </w:pPr>
            <w:r w:rsidRPr="00D44EC9">
              <w:rPr>
                <w:rFonts w:ascii="Garamond" w:hAnsi="Garamond" w:cs="Calibri"/>
                <w:b/>
                <w:bCs/>
                <w:sz w:val="20"/>
                <w:szCs w:val="20"/>
              </w:rPr>
              <w:t>Americas</w:t>
            </w:r>
          </w:p>
        </w:tc>
        <w:tc>
          <w:tcPr>
            <w:tcW w:w="1323" w:type="dxa"/>
            <w:tcBorders>
              <w:top w:val="nil"/>
              <w:left w:val="single" w:sz="4" w:space="0" w:color="auto"/>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292,965,862</w:t>
            </w:r>
          </w:p>
        </w:tc>
        <w:tc>
          <w:tcPr>
            <w:tcW w:w="1056" w:type="dxa"/>
            <w:tcBorders>
              <w:top w:val="nil"/>
              <w:left w:val="nil"/>
              <w:bottom w:val="nil"/>
              <w:right w:val="nil"/>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40,866,661</w:t>
            </w:r>
          </w:p>
        </w:tc>
        <w:tc>
          <w:tcPr>
            <w:tcW w:w="1148" w:type="dxa"/>
            <w:tcBorders>
              <w:top w:val="nil"/>
              <w:left w:val="single" w:sz="4" w:space="0" w:color="auto"/>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88,999,679</w:t>
            </w:r>
          </w:p>
        </w:tc>
        <w:tc>
          <w:tcPr>
            <w:tcW w:w="1150" w:type="dxa"/>
            <w:tcBorders>
              <w:top w:val="nil"/>
              <w:left w:val="nil"/>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67,945,975</w:t>
            </w:r>
          </w:p>
        </w:tc>
        <w:tc>
          <w:tcPr>
            <w:tcW w:w="1071" w:type="dxa"/>
            <w:tcBorders>
              <w:top w:val="nil"/>
              <w:left w:val="nil"/>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12,701,104</w:t>
            </w:r>
          </w:p>
        </w:tc>
        <w:tc>
          <w:tcPr>
            <w:tcW w:w="1148" w:type="dxa"/>
            <w:tcBorders>
              <w:top w:val="nil"/>
              <w:left w:val="nil"/>
              <w:bottom w:val="nil"/>
              <w:right w:val="single" w:sz="8"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95,180,904</w:t>
            </w:r>
          </w:p>
        </w:tc>
      </w:tr>
      <w:tr w:rsidR="002240ED" w:rsidRPr="00D44EC9"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D44EC9" w:rsidRDefault="002240ED" w:rsidP="002240ED">
            <w:pPr>
              <w:rPr>
                <w:rFonts w:ascii="Garamond" w:hAnsi="Garamond" w:cs="Calibri"/>
                <w:sz w:val="20"/>
                <w:szCs w:val="20"/>
              </w:rPr>
            </w:pPr>
            <w:r w:rsidRPr="00D44EC9">
              <w:rPr>
                <w:rFonts w:ascii="Garamond" w:hAnsi="Garamond" w:cs="Calibri"/>
                <w:sz w:val="20"/>
                <w:szCs w:val="20"/>
              </w:rPr>
              <w:t>B3 - Brasil Bolsa Balcão</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51,303,508</w:t>
            </w:r>
          </w:p>
        </w:tc>
        <w:tc>
          <w:tcPr>
            <w:tcW w:w="1056"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1,124,732</w:t>
            </w:r>
          </w:p>
        </w:tc>
        <w:tc>
          <w:tcPr>
            <w:tcW w:w="1148"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58,494,000</w:t>
            </w:r>
          </w:p>
        </w:tc>
        <w:tc>
          <w:tcPr>
            <w:tcW w:w="1150"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40,680</w:t>
            </w:r>
          </w:p>
        </w:tc>
        <w:tc>
          <w:tcPr>
            <w:tcW w:w="1071"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3</w:t>
            </w:r>
          </w:p>
        </w:tc>
        <w:tc>
          <w:tcPr>
            <w:tcW w:w="1148"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24,276,763</w:t>
            </w:r>
          </w:p>
        </w:tc>
      </w:tr>
      <w:tr w:rsidR="002240ED" w:rsidRPr="00D44EC9"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D44EC9" w:rsidRDefault="002240ED" w:rsidP="002240ED">
            <w:pPr>
              <w:rPr>
                <w:rFonts w:ascii="Garamond" w:hAnsi="Garamond" w:cs="Calibri"/>
                <w:sz w:val="20"/>
                <w:szCs w:val="20"/>
              </w:rPr>
            </w:pPr>
            <w:r w:rsidRPr="00D44EC9">
              <w:rPr>
                <w:rFonts w:ascii="Garamond" w:hAnsi="Garamond" w:cs="Calibri"/>
                <w:sz w:val="20"/>
                <w:szCs w:val="20"/>
              </w:rPr>
              <w:t>Bolsa de Valores de Colombia</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18,842</w:t>
            </w:r>
          </w:p>
        </w:tc>
        <w:tc>
          <w:tcPr>
            <w:tcW w:w="1056"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1,510</w:t>
            </w:r>
          </w:p>
        </w:tc>
        <w:tc>
          <w:tcPr>
            <w:tcW w:w="1148"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12,914</w:t>
            </w:r>
          </w:p>
        </w:tc>
        <w:tc>
          <w:tcPr>
            <w:tcW w:w="1150"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71"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D44EC9"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D44EC9" w:rsidRDefault="002240ED" w:rsidP="002240ED">
            <w:pPr>
              <w:rPr>
                <w:rFonts w:ascii="Garamond" w:hAnsi="Garamond" w:cs="Calibri"/>
                <w:sz w:val="20"/>
                <w:szCs w:val="20"/>
              </w:rPr>
            </w:pPr>
            <w:r w:rsidRPr="00D44EC9">
              <w:rPr>
                <w:rFonts w:ascii="Garamond" w:hAnsi="Garamond" w:cs="Calibri"/>
                <w:sz w:val="20"/>
                <w:szCs w:val="20"/>
              </w:rPr>
              <w:t>Bolsa Mexicana de Valores</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50"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71"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D44EC9"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D44EC9" w:rsidRDefault="002240ED" w:rsidP="002240ED">
            <w:pPr>
              <w:rPr>
                <w:rFonts w:ascii="Garamond" w:hAnsi="Garamond" w:cs="Calibri"/>
                <w:sz w:val="20"/>
                <w:szCs w:val="20"/>
              </w:rPr>
            </w:pPr>
            <w:r w:rsidRPr="00D44EC9">
              <w:rPr>
                <w:rFonts w:ascii="Garamond" w:hAnsi="Garamond" w:cs="Calibri"/>
                <w:sz w:val="20"/>
                <w:szCs w:val="20"/>
              </w:rPr>
              <w:t>CME Group</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234,808,812</w:t>
            </w:r>
          </w:p>
        </w:tc>
        <w:tc>
          <w:tcPr>
            <w:tcW w:w="1056"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39,740,419</w:t>
            </w:r>
          </w:p>
        </w:tc>
        <w:tc>
          <w:tcPr>
            <w:tcW w:w="1148"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30,191,816</w:t>
            </w:r>
          </w:p>
        </w:tc>
        <w:tc>
          <w:tcPr>
            <w:tcW w:w="1150"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67,604,346</w:t>
            </w:r>
          </w:p>
        </w:tc>
        <w:tc>
          <w:tcPr>
            <w:tcW w:w="1071"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12,701,101</w:t>
            </w:r>
          </w:p>
        </w:tc>
        <w:tc>
          <w:tcPr>
            <w:tcW w:w="1148"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70,603,192</w:t>
            </w:r>
          </w:p>
        </w:tc>
      </w:tr>
      <w:tr w:rsidR="002240ED" w:rsidRPr="00D44EC9"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D44EC9" w:rsidRDefault="002240ED" w:rsidP="002240ED">
            <w:pPr>
              <w:rPr>
                <w:rFonts w:ascii="Garamond" w:hAnsi="Garamond" w:cs="Calibri"/>
                <w:sz w:val="20"/>
                <w:szCs w:val="20"/>
              </w:rPr>
            </w:pPr>
            <w:r w:rsidRPr="00D44EC9">
              <w:rPr>
                <w:rFonts w:ascii="Garamond" w:hAnsi="Garamond" w:cs="Calibri"/>
                <w:sz w:val="20"/>
                <w:szCs w:val="20"/>
              </w:rPr>
              <w:t>ICE Futures US</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50"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71"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D44EC9" w:rsidTr="007E42E3">
        <w:trPr>
          <w:trHeight w:val="255"/>
          <w:jc w:val="center"/>
        </w:trPr>
        <w:tc>
          <w:tcPr>
            <w:tcW w:w="3215" w:type="dxa"/>
            <w:tcBorders>
              <w:top w:val="nil"/>
              <w:left w:val="single" w:sz="8" w:space="0" w:color="auto"/>
              <w:bottom w:val="nil"/>
              <w:right w:val="nil"/>
            </w:tcBorders>
            <w:shd w:val="clear" w:color="000000" w:fill="B8CCE4"/>
            <w:noWrap/>
            <w:vAlign w:val="center"/>
            <w:hideMark/>
          </w:tcPr>
          <w:p w:rsidR="002240ED" w:rsidRPr="00D44EC9" w:rsidRDefault="002240ED" w:rsidP="002240ED">
            <w:pPr>
              <w:rPr>
                <w:rFonts w:ascii="Garamond" w:hAnsi="Garamond" w:cs="Calibri"/>
                <w:b/>
                <w:bCs/>
                <w:sz w:val="20"/>
                <w:szCs w:val="20"/>
              </w:rPr>
            </w:pPr>
            <w:r w:rsidRPr="00D44EC9">
              <w:rPr>
                <w:rFonts w:ascii="Garamond" w:hAnsi="Garamond" w:cs="Calibri"/>
                <w:b/>
                <w:bCs/>
                <w:sz w:val="20"/>
                <w:szCs w:val="20"/>
              </w:rPr>
              <w:t>Asia - Pacific</w:t>
            </w:r>
          </w:p>
        </w:tc>
        <w:tc>
          <w:tcPr>
            <w:tcW w:w="1323" w:type="dxa"/>
            <w:tcBorders>
              <w:top w:val="nil"/>
              <w:left w:val="single" w:sz="4" w:space="0" w:color="auto"/>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19,884,339</w:t>
            </w:r>
          </w:p>
        </w:tc>
        <w:tc>
          <w:tcPr>
            <w:tcW w:w="1056" w:type="dxa"/>
            <w:tcBorders>
              <w:top w:val="nil"/>
              <w:left w:val="nil"/>
              <w:bottom w:val="nil"/>
              <w:right w:val="nil"/>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3,697,700</w:t>
            </w:r>
          </w:p>
        </w:tc>
        <w:tc>
          <w:tcPr>
            <w:tcW w:w="1148" w:type="dxa"/>
            <w:tcBorders>
              <w:top w:val="nil"/>
              <w:left w:val="single" w:sz="4" w:space="0" w:color="auto"/>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5,607,335</w:t>
            </w:r>
          </w:p>
        </w:tc>
        <w:tc>
          <w:tcPr>
            <w:tcW w:w="1150" w:type="dxa"/>
            <w:tcBorders>
              <w:top w:val="nil"/>
              <w:left w:val="nil"/>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204,718</w:t>
            </w:r>
          </w:p>
        </w:tc>
        <w:tc>
          <w:tcPr>
            <w:tcW w:w="1071" w:type="dxa"/>
            <w:tcBorders>
              <w:top w:val="nil"/>
              <w:left w:val="nil"/>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9,455</w:t>
            </w:r>
          </w:p>
        </w:tc>
        <w:tc>
          <w:tcPr>
            <w:tcW w:w="1148" w:type="dxa"/>
            <w:tcBorders>
              <w:top w:val="nil"/>
              <w:left w:val="nil"/>
              <w:bottom w:val="nil"/>
              <w:right w:val="single" w:sz="8"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34,934</w:t>
            </w:r>
          </w:p>
        </w:tc>
      </w:tr>
      <w:tr w:rsidR="007E42E3" w:rsidRPr="00D44EC9" w:rsidTr="00A03A7D">
        <w:trPr>
          <w:trHeight w:val="255"/>
          <w:jc w:val="center"/>
        </w:trPr>
        <w:tc>
          <w:tcPr>
            <w:tcW w:w="3215" w:type="dxa"/>
            <w:tcBorders>
              <w:top w:val="nil"/>
              <w:left w:val="single" w:sz="8" w:space="0" w:color="auto"/>
              <w:bottom w:val="nil"/>
              <w:right w:val="nil"/>
            </w:tcBorders>
            <w:shd w:val="clear" w:color="auto" w:fill="auto"/>
            <w:noWrap/>
            <w:vAlign w:val="center"/>
          </w:tcPr>
          <w:p w:rsidR="007E42E3" w:rsidRPr="00D44EC9" w:rsidRDefault="007E42E3" w:rsidP="007E42E3">
            <w:pPr>
              <w:rPr>
                <w:rFonts w:ascii="Garamond" w:hAnsi="Garamond" w:cs="Calibri"/>
                <w:b/>
                <w:bCs/>
                <w:sz w:val="20"/>
                <w:szCs w:val="20"/>
              </w:rPr>
            </w:pPr>
            <w:r w:rsidRPr="0005678C">
              <w:rPr>
                <w:rFonts w:ascii="Garamond" w:hAnsi="Garamond" w:cs="Calibri"/>
                <w:sz w:val="20"/>
                <w:szCs w:val="20"/>
              </w:rPr>
              <w:t>BSE India Limited</w:t>
            </w:r>
          </w:p>
        </w:tc>
        <w:tc>
          <w:tcPr>
            <w:tcW w:w="1323" w:type="dxa"/>
            <w:tcBorders>
              <w:top w:val="nil"/>
              <w:left w:val="single" w:sz="4" w:space="0" w:color="auto"/>
              <w:bottom w:val="nil"/>
              <w:right w:val="single" w:sz="4" w:space="0" w:color="auto"/>
            </w:tcBorders>
            <w:shd w:val="clear" w:color="auto" w:fill="auto"/>
            <w:noWrap/>
            <w:vAlign w:val="center"/>
          </w:tcPr>
          <w:p w:rsidR="007E42E3" w:rsidRPr="001F1950" w:rsidRDefault="007E42E3" w:rsidP="007E42E3">
            <w:pPr>
              <w:jc w:val="right"/>
              <w:rPr>
                <w:rFonts w:ascii="Garamond" w:hAnsi="Garamond" w:cs="Calibri"/>
                <w:sz w:val="20"/>
                <w:szCs w:val="20"/>
              </w:rPr>
            </w:pPr>
            <w:r w:rsidRPr="0005678C">
              <w:rPr>
                <w:rFonts w:ascii="Garamond" w:hAnsi="Garamond" w:cs="Calibri"/>
                <w:sz w:val="20"/>
                <w:szCs w:val="20"/>
              </w:rPr>
              <w:t>578,510</w:t>
            </w:r>
          </w:p>
        </w:tc>
        <w:tc>
          <w:tcPr>
            <w:tcW w:w="1056" w:type="dxa"/>
            <w:tcBorders>
              <w:top w:val="nil"/>
              <w:left w:val="nil"/>
              <w:bottom w:val="nil"/>
              <w:right w:val="nil"/>
            </w:tcBorders>
            <w:shd w:val="clear" w:color="auto" w:fill="auto"/>
            <w:noWrap/>
            <w:vAlign w:val="center"/>
          </w:tcPr>
          <w:p w:rsidR="007E42E3" w:rsidRPr="001F1950" w:rsidRDefault="007E42E3" w:rsidP="007E42E3">
            <w:pPr>
              <w:jc w:val="right"/>
              <w:rPr>
                <w:rFonts w:ascii="Garamond" w:hAnsi="Garamond" w:cs="Calibri"/>
                <w:sz w:val="20"/>
                <w:szCs w:val="20"/>
              </w:rPr>
            </w:pPr>
            <w:r w:rsidRPr="0005678C">
              <w:rPr>
                <w:rFonts w:ascii="Garamond" w:hAnsi="Garamond" w:cs="Calibri"/>
                <w:sz w:val="20"/>
                <w:szCs w:val="20"/>
              </w:rPr>
              <w:t>1,669</w:t>
            </w:r>
          </w:p>
        </w:tc>
        <w:tc>
          <w:tcPr>
            <w:tcW w:w="1148" w:type="dxa"/>
            <w:tcBorders>
              <w:top w:val="nil"/>
              <w:left w:val="single" w:sz="4" w:space="0" w:color="auto"/>
              <w:bottom w:val="nil"/>
              <w:right w:val="single" w:sz="4" w:space="0" w:color="auto"/>
            </w:tcBorders>
            <w:shd w:val="clear" w:color="auto" w:fill="auto"/>
            <w:noWrap/>
          </w:tcPr>
          <w:p w:rsidR="007E42E3" w:rsidRPr="001F1950" w:rsidRDefault="007E42E3" w:rsidP="007E42E3">
            <w:pPr>
              <w:jc w:val="right"/>
              <w:rPr>
                <w:rFonts w:ascii="Garamond" w:hAnsi="Garamond" w:cs="Calibri"/>
                <w:sz w:val="20"/>
                <w:szCs w:val="20"/>
              </w:rPr>
            </w:pPr>
            <w:r w:rsidRPr="0005678C">
              <w:rPr>
                <w:rFonts w:ascii="Garamond" w:hAnsi="Garamond" w:cs="Calibri"/>
                <w:sz w:val="20"/>
                <w:szCs w:val="20"/>
              </w:rPr>
              <w:t>NA</w:t>
            </w:r>
          </w:p>
        </w:tc>
        <w:tc>
          <w:tcPr>
            <w:tcW w:w="1150" w:type="dxa"/>
            <w:tcBorders>
              <w:top w:val="nil"/>
              <w:left w:val="nil"/>
              <w:bottom w:val="nil"/>
              <w:right w:val="single" w:sz="4" w:space="0" w:color="auto"/>
            </w:tcBorders>
            <w:shd w:val="clear" w:color="auto" w:fill="auto"/>
            <w:noWrap/>
          </w:tcPr>
          <w:p w:rsidR="007E42E3" w:rsidRPr="001F1950" w:rsidRDefault="007E42E3" w:rsidP="007E42E3">
            <w:pPr>
              <w:jc w:val="right"/>
              <w:rPr>
                <w:rFonts w:ascii="Garamond" w:hAnsi="Garamond" w:cs="Calibri"/>
                <w:sz w:val="20"/>
                <w:szCs w:val="20"/>
              </w:rPr>
            </w:pPr>
            <w:r w:rsidRPr="0005678C">
              <w:rPr>
                <w:rFonts w:ascii="Garamond" w:hAnsi="Garamond" w:cs="Calibri"/>
                <w:sz w:val="20"/>
                <w:szCs w:val="20"/>
              </w:rPr>
              <w:t>NA</w:t>
            </w:r>
          </w:p>
        </w:tc>
        <w:tc>
          <w:tcPr>
            <w:tcW w:w="1071" w:type="dxa"/>
            <w:tcBorders>
              <w:top w:val="nil"/>
              <w:left w:val="nil"/>
              <w:bottom w:val="nil"/>
              <w:right w:val="single" w:sz="4" w:space="0" w:color="auto"/>
            </w:tcBorders>
            <w:shd w:val="clear" w:color="auto" w:fill="auto"/>
            <w:noWrap/>
          </w:tcPr>
          <w:p w:rsidR="007E42E3" w:rsidRPr="001F1950" w:rsidRDefault="007E42E3" w:rsidP="007E42E3">
            <w:pPr>
              <w:jc w:val="right"/>
              <w:rPr>
                <w:rFonts w:ascii="Garamond" w:hAnsi="Garamond" w:cs="Calibri"/>
                <w:sz w:val="20"/>
                <w:szCs w:val="20"/>
              </w:rPr>
            </w:pPr>
            <w:r w:rsidRPr="0005678C">
              <w:rPr>
                <w:rFonts w:ascii="Garamond" w:hAnsi="Garamond" w:cs="Calibri"/>
                <w:sz w:val="20"/>
                <w:szCs w:val="20"/>
              </w:rPr>
              <w:t>NA</w:t>
            </w:r>
          </w:p>
        </w:tc>
        <w:tc>
          <w:tcPr>
            <w:tcW w:w="1148" w:type="dxa"/>
            <w:tcBorders>
              <w:top w:val="nil"/>
              <w:left w:val="nil"/>
              <w:bottom w:val="nil"/>
              <w:right w:val="single" w:sz="8" w:space="0" w:color="auto"/>
            </w:tcBorders>
            <w:shd w:val="clear" w:color="auto" w:fill="auto"/>
            <w:noWrap/>
          </w:tcPr>
          <w:p w:rsidR="007E42E3" w:rsidRPr="001F1950" w:rsidRDefault="007E42E3" w:rsidP="007E42E3">
            <w:pPr>
              <w:jc w:val="right"/>
              <w:rPr>
                <w:rFonts w:ascii="Garamond" w:hAnsi="Garamond" w:cs="Calibri"/>
                <w:sz w:val="20"/>
                <w:szCs w:val="20"/>
              </w:rPr>
            </w:pPr>
            <w:r w:rsidRPr="0005678C">
              <w:rPr>
                <w:rFonts w:ascii="Garamond" w:hAnsi="Garamond" w:cs="Calibri"/>
                <w:sz w:val="20"/>
                <w:szCs w:val="20"/>
              </w:rPr>
              <w:t>NA</w:t>
            </w:r>
          </w:p>
        </w:tc>
      </w:tr>
      <w:tr w:rsidR="002240ED" w:rsidRPr="00D44EC9"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D44EC9" w:rsidRDefault="002240ED" w:rsidP="002240ED">
            <w:pPr>
              <w:rPr>
                <w:rFonts w:ascii="Garamond" w:hAnsi="Garamond" w:cs="Calibri"/>
                <w:sz w:val="20"/>
                <w:szCs w:val="20"/>
              </w:rPr>
            </w:pPr>
            <w:r w:rsidRPr="00D44EC9">
              <w:rPr>
                <w:rFonts w:ascii="Garamond" w:hAnsi="Garamond" w:cs="Calibri"/>
                <w:sz w:val="20"/>
                <w:szCs w:val="20"/>
              </w:rPr>
              <w:t>ASX Australian Securities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11,606,423</w:t>
            </w:r>
          </w:p>
        </w:tc>
        <w:tc>
          <w:tcPr>
            <w:tcW w:w="1056"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3,084,103</w:t>
            </w:r>
          </w:p>
        </w:tc>
        <w:tc>
          <w:tcPr>
            <w:tcW w:w="1148"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4,644,883</w:t>
            </w:r>
          </w:p>
        </w:tc>
        <w:tc>
          <w:tcPr>
            <w:tcW w:w="1150"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140,310</w:t>
            </w:r>
          </w:p>
        </w:tc>
        <w:tc>
          <w:tcPr>
            <w:tcW w:w="1071"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9,455</w:t>
            </w:r>
          </w:p>
        </w:tc>
        <w:tc>
          <w:tcPr>
            <w:tcW w:w="1148"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32,000</w:t>
            </w:r>
          </w:p>
        </w:tc>
      </w:tr>
      <w:tr w:rsidR="002240ED" w:rsidRPr="00D44EC9"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D44EC9" w:rsidRDefault="002240ED" w:rsidP="002240ED">
            <w:pPr>
              <w:rPr>
                <w:rFonts w:ascii="Garamond" w:hAnsi="Garamond" w:cs="Calibri"/>
                <w:sz w:val="20"/>
                <w:szCs w:val="20"/>
              </w:rPr>
            </w:pPr>
            <w:r w:rsidRPr="00D44EC9">
              <w:rPr>
                <w:rFonts w:ascii="Garamond" w:hAnsi="Garamond" w:cs="Calibri"/>
                <w:sz w:val="20"/>
                <w:szCs w:val="20"/>
              </w:rPr>
              <w:t>China Financial Futures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1,213,914</w:t>
            </w:r>
          </w:p>
        </w:tc>
        <w:tc>
          <w:tcPr>
            <w:tcW w:w="1056"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194,159</w:t>
            </w:r>
          </w:p>
        </w:tc>
        <w:tc>
          <w:tcPr>
            <w:tcW w:w="1148"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115,208</w:t>
            </w:r>
          </w:p>
        </w:tc>
        <w:tc>
          <w:tcPr>
            <w:tcW w:w="1150"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71"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D44EC9"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D44EC9" w:rsidRDefault="002240ED" w:rsidP="002240ED">
            <w:pPr>
              <w:rPr>
                <w:rFonts w:ascii="Garamond" w:hAnsi="Garamond" w:cs="Calibri"/>
                <w:sz w:val="20"/>
                <w:szCs w:val="20"/>
              </w:rPr>
            </w:pPr>
            <w:r w:rsidRPr="00D44EC9">
              <w:rPr>
                <w:rFonts w:ascii="Garamond" w:hAnsi="Garamond" w:cs="Calibri"/>
                <w:sz w:val="20"/>
                <w:szCs w:val="20"/>
              </w:rPr>
              <w:t>Hong Kong Exchanges and Clearing</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136</w:t>
            </w:r>
          </w:p>
        </w:tc>
        <w:tc>
          <w:tcPr>
            <w:tcW w:w="1056"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21</w:t>
            </w:r>
          </w:p>
        </w:tc>
        <w:tc>
          <w:tcPr>
            <w:tcW w:w="1148"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200</w:t>
            </w:r>
          </w:p>
        </w:tc>
        <w:tc>
          <w:tcPr>
            <w:tcW w:w="1150"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71"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D44EC9"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D44EC9" w:rsidRDefault="002240ED" w:rsidP="002240ED">
            <w:pPr>
              <w:rPr>
                <w:rFonts w:ascii="Garamond" w:hAnsi="Garamond" w:cs="Calibri"/>
                <w:sz w:val="20"/>
                <w:szCs w:val="20"/>
              </w:rPr>
            </w:pPr>
            <w:r w:rsidRPr="00D44EC9">
              <w:rPr>
                <w:rFonts w:ascii="Garamond" w:hAnsi="Garamond" w:cs="Calibri"/>
                <w:sz w:val="20"/>
                <w:szCs w:val="20"/>
              </w:rPr>
              <w:t>Japan Exchange Group</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784,910</w:t>
            </w:r>
          </w:p>
        </w:tc>
        <w:tc>
          <w:tcPr>
            <w:tcW w:w="1056"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134,104</w:t>
            </w:r>
          </w:p>
        </w:tc>
        <w:tc>
          <w:tcPr>
            <w:tcW w:w="1150"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64,408</w:t>
            </w:r>
          </w:p>
        </w:tc>
        <w:tc>
          <w:tcPr>
            <w:tcW w:w="1071"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2,934</w:t>
            </w:r>
          </w:p>
        </w:tc>
      </w:tr>
      <w:tr w:rsidR="002240ED" w:rsidRPr="00D44EC9"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D44EC9" w:rsidRDefault="002240ED" w:rsidP="002240ED">
            <w:pPr>
              <w:rPr>
                <w:rFonts w:ascii="Garamond" w:hAnsi="Garamond" w:cs="Calibri"/>
                <w:sz w:val="20"/>
                <w:szCs w:val="20"/>
              </w:rPr>
            </w:pPr>
            <w:r w:rsidRPr="00D44EC9">
              <w:rPr>
                <w:rFonts w:ascii="Garamond" w:hAnsi="Garamond" w:cs="Calibri"/>
                <w:sz w:val="20"/>
                <w:szCs w:val="20"/>
              </w:rPr>
              <w:t>Korea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4,134,799</w:t>
            </w:r>
          </w:p>
        </w:tc>
        <w:tc>
          <w:tcPr>
            <w:tcW w:w="1056"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413,200</w:t>
            </w:r>
          </w:p>
        </w:tc>
        <w:tc>
          <w:tcPr>
            <w:tcW w:w="1148"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512,285</w:t>
            </w:r>
          </w:p>
        </w:tc>
        <w:tc>
          <w:tcPr>
            <w:tcW w:w="1150"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71"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D44EC9"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D44EC9" w:rsidRDefault="002240ED" w:rsidP="002240ED">
            <w:pPr>
              <w:rPr>
                <w:rFonts w:ascii="Garamond" w:hAnsi="Garamond" w:cs="Calibri"/>
                <w:sz w:val="20"/>
                <w:szCs w:val="20"/>
              </w:rPr>
            </w:pPr>
            <w:r w:rsidRPr="00D44EC9">
              <w:rPr>
                <w:rFonts w:ascii="Garamond" w:hAnsi="Garamond" w:cs="Calibri"/>
                <w:sz w:val="20"/>
                <w:szCs w:val="20"/>
              </w:rPr>
              <w:t>National Stock Exchange of India Limited</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1,543,335</w:t>
            </w:r>
          </w:p>
        </w:tc>
        <w:tc>
          <w:tcPr>
            <w:tcW w:w="1056"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4,548</w:t>
            </w:r>
          </w:p>
        </w:tc>
        <w:tc>
          <w:tcPr>
            <w:tcW w:w="1148"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179,226</w:t>
            </w:r>
          </w:p>
        </w:tc>
        <w:tc>
          <w:tcPr>
            <w:tcW w:w="1150"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71"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D44EC9"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D44EC9" w:rsidRDefault="002240ED" w:rsidP="002240ED">
            <w:pPr>
              <w:rPr>
                <w:rFonts w:ascii="Garamond" w:hAnsi="Garamond" w:cs="Calibri"/>
                <w:sz w:val="20"/>
                <w:szCs w:val="20"/>
              </w:rPr>
            </w:pPr>
            <w:r w:rsidRPr="00D44EC9">
              <w:rPr>
                <w:rFonts w:ascii="Garamond" w:hAnsi="Garamond" w:cs="Calibri"/>
                <w:sz w:val="20"/>
                <w:szCs w:val="20"/>
              </w:rPr>
              <w:t>Singapore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22,312</w:t>
            </w:r>
          </w:p>
        </w:tc>
        <w:tc>
          <w:tcPr>
            <w:tcW w:w="1056"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21,429</w:t>
            </w:r>
          </w:p>
        </w:tc>
        <w:tc>
          <w:tcPr>
            <w:tcW w:w="1150"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71"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D44EC9"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D44EC9" w:rsidRDefault="002240ED" w:rsidP="002240ED">
            <w:pPr>
              <w:rPr>
                <w:rFonts w:ascii="Garamond" w:hAnsi="Garamond" w:cs="Calibri"/>
                <w:sz w:val="20"/>
                <w:szCs w:val="20"/>
              </w:rPr>
            </w:pPr>
            <w:r w:rsidRPr="00D44EC9">
              <w:rPr>
                <w:rFonts w:ascii="Garamond" w:hAnsi="Garamond" w:cs="Calibri"/>
                <w:sz w:val="20"/>
                <w:szCs w:val="20"/>
              </w:rPr>
              <w:t>Taiwan Futures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50"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71"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D44EC9"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D44EC9" w:rsidRDefault="002240ED" w:rsidP="002240ED">
            <w:pPr>
              <w:rPr>
                <w:rFonts w:ascii="Garamond" w:hAnsi="Garamond" w:cs="Calibri"/>
                <w:sz w:val="20"/>
                <w:szCs w:val="20"/>
              </w:rPr>
            </w:pPr>
            <w:r w:rsidRPr="00D44EC9">
              <w:rPr>
                <w:rFonts w:ascii="Garamond" w:hAnsi="Garamond" w:cs="Calibri"/>
                <w:sz w:val="20"/>
                <w:szCs w:val="20"/>
              </w:rPr>
              <w:t>Thailand Futures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50"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71"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D44EC9" w:rsidTr="007E42E3">
        <w:trPr>
          <w:trHeight w:val="255"/>
          <w:jc w:val="center"/>
        </w:trPr>
        <w:tc>
          <w:tcPr>
            <w:tcW w:w="3215" w:type="dxa"/>
            <w:tcBorders>
              <w:top w:val="nil"/>
              <w:left w:val="single" w:sz="8" w:space="0" w:color="auto"/>
              <w:bottom w:val="nil"/>
              <w:right w:val="nil"/>
            </w:tcBorders>
            <w:shd w:val="clear" w:color="000000" w:fill="B8CCE4"/>
            <w:noWrap/>
            <w:vAlign w:val="center"/>
            <w:hideMark/>
          </w:tcPr>
          <w:p w:rsidR="002240ED" w:rsidRPr="00D44EC9" w:rsidRDefault="002240ED" w:rsidP="002240ED">
            <w:pPr>
              <w:rPr>
                <w:rFonts w:ascii="Garamond" w:hAnsi="Garamond" w:cs="Calibri"/>
                <w:b/>
                <w:bCs/>
                <w:sz w:val="20"/>
                <w:szCs w:val="20"/>
              </w:rPr>
            </w:pPr>
            <w:r w:rsidRPr="00D44EC9">
              <w:rPr>
                <w:rFonts w:ascii="Garamond" w:hAnsi="Garamond" w:cs="Calibri"/>
                <w:b/>
                <w:bCs/>
                <w:sz w:val="20"/>
                <w:szCs w:val="20"/>
              </w:rPr>
              <w:t>Europe - Africa - Middle East</w:t>
            </w:r>
          </w:p>
        </w:tc>
        <w:tc>
          <w:tcPr>
            <w:tcW w:w="1323" w:type="dxa"/>
            <w:tcBorders>
              <w:top w:val="nil"/>
              <w:left w:val="single" w:sz="4" w:space="0" w:color="auto"/>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81,975,099</w:t>
            </w:r>
          </w:p>
        </w:tc>
        <w:tc>
          <w:tcPr>
            <w:tcW w:w="1056" w:type="dxa"/>
            <w:tcBorders>
              <w:top w:val="nil"/>
              <w:left w:val="nil"/>
              <w:bottom w:val="nil"/>
              <w:right w:val="nil"/>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35,547,861</w:t>
            </w:r>
          </w:p>
        </w:tc>
        <w:tc>
          <w:tcPr>
            <w:tcW w:w="1148" w:type="dxa"/>
            <w:tcBorders>
              <w:top w:val="nil"/>
              <w:left w:val="single" w:sz="4" w:space="0" w:color="auto"/>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17,279,562</w:t>
            </w:r>
          </w:p>
        </w:tc>
        <w:tc>
          <w:tcPr>
            <w:tcW w:w="1150" w:type="dxa"/>
            <w:tcBorders>
              <w:top w:val="nil"/>
              <w:left w:val="nil"/>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15,123,753</w:t>
            </w:r>
          </w:p>
        </w:tc>
        <w:tc>
          <w:tcPr>
            <w:tcW w:w="1071" w:type="dxa"/>
            <w:tcBorders>
              <w:top w:val="nil"/>
              <w:left w:val="nil"/>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7,261,639</w:t>
            </w:r>
          </w:p>
        </w:tc>
        <w:tc>
          <w:tcPr>
            <w:tcW w:w="1148" w:type="dxa"/>
            <w:tcBorders>
              <w:top w:val="nil"/>
              <w:left w:val="nil"/>
              <w:bottom w:val="nil"/>
              <w:right w:val="single" w:sz="8"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21,405,517</w:t>
            </w:r>
          </w:p>
        </w:tc>
      </w:tr>
      <w:tr w:rsidR="002240ED" w:rsidRPr="00D44EC9"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D44EC9" w:rsidRDefault="002240ED" w:rsidP="002240ED">
            <w:pPr>
              <w:rPr>
                <w:rFonts w:ascii="Garamond" w:hAnsi="Garamond" w:cs="Calibri"/>
                <w:sz w:val="20"/>
                <w:szCs w:val="20"/>
              </w:rPr>
            </w:pPr>
            <w:r w:rsidRPr="00D44EC9">
              <w:rPr>
                <w:rFonts w:ascii="Garamond" w:hAnsi="Garamond" w:cs="Calibri"/>
                <w:sz w:val="20"/>
                <w:szCs w:val="20"/>
              </w:rPr>
              <w:t>Johannesburg Stock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50"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71"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D44EC9" w:rsidTr="007E42E3">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D44EC9" w:rsidRDefault="002240ED" w:rsidP="002240ED">
            <w:pPr>
              <w:rPr>
                <w:rFonts w:ascii="Garamond" w:hAnsi="Garamond" w:cs="Calibri"/>
                <w:sz w:val="20"/>
                <w:szCs w:val="20"/>
              </w:rPr>
            </w:pPr>
            <w:r w:rsidRPr="00D44EC9">
              <w:rPr>
                <w:rFonts w:ascii="Garamond" w:hAnsi="Garamond" w:cs="Calibri"/>
                <w:sz w:val="20"/>
                <w:szCs w:val="20"/>
              </w:rPr>
              <w:t>Moscow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26,920</w:t>
            </w:r>
          </w:p>
        </w:tc>
        <w:tc>
          <w:tcPr>
            <w:tcW w:w="1056"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13</w:t>
            </w:r>
          </w:p>
        </w:tc>
        <w:tc>
          <w:tcPr>
            <w:tcW w:w="1148"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74,754</w:t>
            </w:r>
          </w:p>
        </w:tc>
        <w:tc>
          <w:tcPr>
            <w:tcW w:w="1150"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71" w:type="dxa"/>
            <w:tcBorders>
              <w:top w:val="nil"/>
              <w:left w:val="nil"/>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48"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D44EC9" w:rsidTr="007E42E3">
        <w:trPr>
          <w:trHeight w:val="270"/>
          <w:jc w:val="center"/>
        </w:trPr>
        <w:tc>
          <w:tcPr>
            <w:tcW w:w="3215" w:type="dxa"/>
            <w:tcBorders>
              <w:top w:val="single" w:sz="4" w:space="0" w:color="95B3D7"/>
              <w:left w:val="single" w:sz="8" w:space="0" w:color="auto"/>
              <w:bottom w:val="single" w:sz="8" w:space="0" w:color="auto"/>
              <w:right w:val="nil"/>
            </w:tcBorders>
            <w:shd w:val="clear" w:color="DBE5F1" w:fill="B8CCE4"/>
            <w:noWrap/>
            <w:vAlign w:val="center"/>
            <w:hideMark/>
          </w:tcPr>
          <w:p w:rsidR="002240ED" w:rsidRPr="00D44EC9" w:rsidRDefault="002240ED" w:rsidP="002240ED">
            <w:pPr>
              <w:rPr>
                <w:rFonts w:ascii="Garamond" w:hAnsi="Garamond" w:cs="Calibri"/>
                <w:b/>
                <w:bCs/>
                <w:sz w:val="20"/>
                <w:szCs w:val="20"/>
              </w:rPr>
            </w:pPr>
            <w:r w:rsidRPr="00D44EC9">
              <w:rPr>
                <w:rFonts w:ascii="Garamond" w:hAnsi="Garamond" w:cs="Calibri"/>
                <w:b/>
                <w:bCs/>
                <w:sz w:val="20"/>
                <w:szCs w:val="20"/>
              </w:rPr>
              <w:t>Grand Total</w:t>
            </w:r>
          </w:p>
        </w:tc>
        <w:tc>
          <w:tcPr>
            <w:tcW w:w="1323" w:type="dxa"/>
            <w:tcBorders>
              <w:top w:val="single" w:sz="4" w:space="0" w:color="95B3D7"/>
              <w:left w:val="single" w:sz="4" w:space="0" w:color="auto"/>
              <w:bottom w:val="single" w:sz="8" w:space="0" w:color="auto"/>
              <w:right w:val="single" w:sz="4" w:space="0" w:color="auto"/>
            </w:tcBorders>
            <w:shd w:val="clear" w:color="DBE5F1"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394,825,300</w:t>
            </w:r>
          </w:p>
        </w:tc>
        <w:tc>
          <w:tcPr>
            <w:tcW w:w="1056" w:type="dxa"/>
            <w:tcBorders>
              <w:top w:val="single" w:sz="4" w:space="0" w:color="95B3D7"/>
              <w:left w:val="nil"/>
              <w:bottom w:val="single" w:sz="8" w:space="0" w:color="auto"/>
              <w:right w:val="nil"/>
            </w:tcBorders>
            <w:shd w:val="clear" w:color="DBE5F1"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80,112,221</w:t>
            </w:r>
          </w:p>
        </w:tc>
        <w:tc>
          <w:tcPr>
            <w:tcW w:w="1148" w:type="dxa"/>
            <w:tcBorders>
              <w:top w:val="single" w:sz="4" w:space="0" w:color="95B3D7"/>
              <w:left w:val="single" w:sz="4" w:space="0" w:color="auto"/>
              <w:bottom w:val="single" w:sz="8" w:space="0" w:color="auto"/>
              <w:right w:val="single" w:sz="4" w:space="0" w:color="auto"/>
            </w:tcBorders>
            <w:shd w:val="clear" w:color="DBE5F1"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111,886,576</w:t>
            </w:r>
          </w:p>
        </w:tc>
        <w:tc>
          <w:tcPr>
            <w:tcW w:w="1150" w:type="dxa"/>
            <w:tcBorders>
              <w:top w:val="single" w:sz="4" w:space="0" w:color="95B3D7"/>
              <w:left w:val="nil"/>
              <w:bottom w:val="single" w:sz="8" w:space="0" w:color="auto"/>
              <w:right w:val="single" w:sz="4" w:space="0" w:color="auto"/>
            </w:tcBorders>
            <w:shd w:val="clear" w:color="DBE5F1"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83,274,446</w:t>
            </w:r>
          </w:p>
        </w:tc>
        <w:tc>
          <w:tcPr>
            <w:tcW w:w="1071" w:type="dxa"/>
            <w:tcBorders>
              <w:top w:val="single" w:sz="4" w:space="0" w:color="95B3D7"/>
              <w:left w:val="nil"/>
              <w:bottom w:val="single" w:sz="8" w:space="0" w:color="auto"/>
              <w:right w:val="single" w:sz="4" w:space="0" w:color="auto"/>
            </w:tcBorders>
            <w:shd w:val="clear" w:color="DBE5F1"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19,972,198</w:t>
            </w:r>
          </w:p>
        </w:tc>
        <w:tc>
          <w:tcPr>
            <w:tcW w:w="1148" w:type="dxa"/>
            <w:tcBorders>
              <w:top w:val="single" w:sz="4" w:space="0" w:color="95B3D7"/>
              <w:left w:val="nil"/>
              <w:bottom w:val="single" w:sz="8" w:space="0" w:color="auto"/>
              <w:right w:val="single" w:sz="8" w:space="0" w:color="auto"/>
            </w:tcBorders>
            <w:shd w:val="clear" w:color="DBE5F1"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116,621,355</w:t>
            </w:r>
          </w:p>
        </w:tc>
      </w:tr>
    </w:tbl>
    <w:p w:rsidR="002240ED" w:rsidRPr="00D44EC9" w:rsidRDefault="002240ED" w:rsidP="002240ED">
      <w:pPr>
        <w:tabs>
          <w:tab w:val="left" w:pos="3306"/>
          <w:tab w:val="left" w:pos="4629"/>
          <w:tab w:val="left" w:pos="5685"/>
          <w:tab w:val="left" w:pos="6759"/>
          <w:tab w:val="left" w:pos="7923"/>
          <w:tab w:val="left" w:pos="8994"/>
        </w:tabs>
        <w:ind w:left="91"/>
        <w:rPr>
          <w:rFonts w:ascii="Garamond" w:eastAsia="Times New Roman" w:hAnsi="Garamond" w:cs="Calibri"/>
          <w:sz w:val="20"/>
          <w:szCs w:val="20"/>
          <w:lang w:val="en-US"/>
        </w:rPr>
      </w:pPr>
      <w:r w:rsidRPr="00D44EC9">
        <w:rPr>
          <w:rFonts w:ascii="Garamond" w:eastAsia="Times New Roman" w:hAnsi="Garamond" w:cs="Calibri"/>
          <w:sz w:val="20"/>
          <w:szCs w:val="20"/>
          <w:lang w:val="en-US"/>
        </w:rPr>
        <w:tab/>
      </w:r>
      <w:r w:rsidRPr="00D44EC9">
        <w:rPr>
          <w:rFonts w:ascii="Garamond" w:eastAsia="Times New Roman" w:hAnsi="Garamond" w:cs="Calibri"/>
          <w:sz w:val="20"/>
          <w:szCs w:val="20"/>
          <w:lang w:val="en-US"/>
        </w:rPr>
        <w:tab/>
      </w:r>
      <w:r w:rsidRPr="00D44EC9">
        <w:rPr>
          <w:rFonts w:ascii="Garamond" w:eastAsia="Times New Roman" w:hAnsi="Garamond" w:cs="Calibri"/>
          <w:sz w:val="20"/>
          <w:szCs w:val="20"/>
          <w:lang w:val="en-US"/>
        </w:rPr>
        <w:tab/>
      </w:r>
      <w:r w:rsidRPr="00D44EC9">
        <w:rPr>
          <w:rFonts w:ascii="Garamond" w:eastAsia="Times New Roman" w:hAnsi="Garamond" w:cs="Calibri"/>
          <w:sz w:val="20"/>
          <w:szCs w:val="20"/>
          <w:lang w:val="en-US"/>
        </w:rPr>
        <w:tab/>
      </w:r>
      <w:r w:rsidRPr="00D44EC9">
        <w:rPr>
          <w:rFonts w:ascii="Garamond" w:eastAsia="Times New Roman" w:hAnsi="Garamond" w:cs="Calibri"/>
          <w:sz w:val="20"/>
          <w:szCs w:val="20"/>
          <w:lang w:val="en-US"/>
        </w:rPr>
        <w:tab/>
      </w:r>
      <w:r w:rsidRPr="00D44EC9">
        <w:rPr>
          <w:rFonts w:ascii="Garamond" w:eastAsia="Times New Roman" w:hAnsi="Garamond" w:cs="Calibri"/>
          <w:sz w:val="20"/>
          <w:szCs w:val="20"/>
          <w:lang w:val="en-US"/>
        </w:rPr>
        <w:tab/>
      </w:r>
    </w:p>
    <w:p w:rsidR="002240ED" w:rsidRPr="00D44EC9" w:rsidRDefault="002240ED" w:rsidP="002240ED">
      <w:pPr>
        <w:jc w:val="both"/>
        <w:rPr>
          <w:rFonts w:ascii="Garamond" w:hAnsi="Garamond"/>
          <w:sz w:val="18"/>
        </w:rPr>
      </w:pPr>
      <w:r w:rsidRPr="00D44EC9">
        <w:rPr>
          <w:rFonts w:ascii="Garamond" w:hAnsi="Garamond"/>
          <w:sz w:val="18"/>
        </w:rPr>
        <w:t>NA: Not Available</w:t>
      </w:r>
    </w:p>
    <w:p w:rsidR="002240ED" w:rsidRPr="00D44EC9" w:rsidRDefault="002240ED" w:rsidP="002240ED">
      <w:pPr>
        <w:jc w:val="both"/>
        <w:outlineLvl w:val="0"/>
        <w:rPr>
          <w:rFonts w:ascii="Garamond" w:hAnsi="Garamond"/>
          <w:b/>
          <w:sz w:val="18"/>
        </w:rPr>
      </w:pPr>
      <w:r w:rsidRPr="00D44EC9">
        <w:rPr>
          <w:rFonts w:ascii="Garamond" w:hAnsi="Garamond"/>
          <w:b/>
          <w:sz w:val="18"/>
        </w:rPr>
        <w:t>Source: World Federation of Exchanges</w:t>
      </w:r>
    </w:p>
    <w:p w:rsidR="002240ED" w:rsidRPr="00842D76" w:rsidRDefault="002240ED" w:rsidP="002240ED">
      <w:pPr>
        <w:tabs>
          <w:tab w:val="left" w:pos="3306"/>
          <w:tab w:val="left" w:pos="4629"/>
          <w:tab w:val="left" w:pos="5685"/>
          <w:tab w:val="left" w:pos="6759"/>
          <w:tab w:val="left" w:pos="7923"/>
          <w:tab w:val="left" w:pos="8994"/>
        </w:tabs>
        <w:ind w:left="91"/>
        <w:rPr>
          <w:rFonts w:ascii="Garamond" w:eastAsia="Times New Roman" w:hAnsi="Garamond" w:cs="Calibri"/>
          <w:color w:val="0070C0"/>
          <w:sz w:val="20"/>
          <w:szCs w:val="20"/>
          <w:lang w:val="en-US"/>
        </w:rPr>
      </w:pPr>
      <w:r w:rsidRPr="00D44EC9">
        <w:rPr>
          <w:rFonts w:ascii="Garamond" w:eastAsia="Times New Roman" w:hAnsi="Garamond" w:cs="Calibri"/>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p>
    <w:p w:rsidR="002240ED" w:rsidRPr="00842D76" w:rsidRDefault="002240ED" w:rsidP="002240ED">
      <w:pPr>
        <w:rPr>
          <w:color w:val="0070C0"/>
        </w:rPr>
      </w:pPr>
      <w:r w:rsidRPr="00842D76">
        <w:rPr>
          <w:color w:val="0070C0"/>
        </w:rPr>
        <w:br w:type="page"/>
      </w:r>
    </w:p>
    <w:tbl>
      <w:tblPr>
        <w:tblW w:w="9887" w:type="dxa"/>
        <w:jc w:val="center"/>
        <w:tblLook w:val="04A0" w:firstRow="1" w:lastRow="0" w:firstColumn="1" w:lastColumn="0" w:noHBand="0" w:noVBand="1"/>
      </w:tblPr>
      <w:tblGrid>
        <w:gridCol w:w="3215"/>
        <w:gridCol w:w="1323"/>
        <w:gridCol w:w="1054"/>
        <w:gridCol w:w="1074"/>
        <w:gridCol w:w="1164"/>
        <w:gridCol w:w="1001"/>
        <w:gridCol w:w="1056"/>
      </w:tblGrid>
      <w:tr w:rsidR="002240ED" w:rsidRPr="008700DC" w:rsidTr="002240ED">
        <w:trPr>
          <w:trHeight w:val="270"/>
          <w:jc w:val="center"/>
        </w:trPr>
        <w:tc>
          <w:tcPr>
            <w:tcW w:w="9887" w:type="dxa"/>
            <w:gridSpan w:val="7"/>
            <w:tcBorders>
              <w:top w:val="nil"/>
              <w:left w:val="nil"/>
              <w:bottom w:val="single" w:sz="8" w:space="0" w:color="auto"/>
              <w:right w:val="nil"/>
            </w:tcBorders>
            <w:shd w:val="clear" w:color="auto" w:fill="auto"/>
            <w:noWrap/>
            <w:vAlign w:val="bottom"/>
            <w:hideMark/>
          </w:tcPr>
          <w:p w:rsidR="002240ED" w:rsidRPr="008700DC" w:rsidRDefault="002240ED" w:rsidP="002240ED">
            <w:pPr>
              <w:jc w:val="center"/>
              <w:rPr>
                <w:rFonts w:ascii="Garamond" w:eastAsia="Times New Roman" w:hAnsi="Garamond" w:cs="Calibri"/>
                <w:b/>
                <w:bCs/>
                <w:sz w:val="20"/>
                <w:szCs w:val="20"/>
                <w:lang w:val="en-US"/>
              </w:rPr>
            </w:pPr>
            <w:r w:rsidRPr="008700DC">
              <w:rPr>
                <w:rFonts w:ascii="Garamond" w:eastAsia="Times New Roman" w:hAnsi="Garamond" w:cs="Calibri"/>
                <w:b/>
                <w:bCs/>
                <w:sz w:val="20"/>
                <w:szCs w:val="20"/>
                <w:lang w:val="en-US"/>
              </w:rPr>
              <w:lastRenderedPageBreak/>
              <w:t>Table A9: Commodity Futures and Options Traded in Major Exchanges</w:t>
            </w:r>
          </w:p>
        </w:tc>
      </w:tr>
      <w:tr w:rsidR="002240ED" w:rsidRPr="008700DC" w:rsidTr="002240ED">
        <w:trPr>
          <w:trHeight w:val="270"/>
          <w:jc w:val="center"/>
        </w:trPr>
        <w:tc>
          <w:tcPr>
            <w:tcW w:w="321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2240ED" w:rsidRPr="008700DC" w:rsidRDefault="002240ED" w:rsidP="002240ED">
            <w:pPr>
              <w:jc w:val="center"/>
              <w:rPr>
                <w:rFonts w:ascii="Garamond" w:eastAsia="Times New Roman" w:hAnsi="Garamond" w:cs="Calibri"/>
                <w:b/>
                <w:bCs/>
                <w:sz w:val="20"/>
                <w:szCs w:val="20"/>
                <w:lang w:val="en-US"/>
              </w:rPr>
            </w:pPr>
            <w:r w:rsidRPr="008700DC">
              <w:rPr>
                <w:rFonts w:ascii="Garamond" w:eastAsia="Times New Roman" w:hAnsi="Garamond" w:cs="Calibri"/>
                <w:b/>
                <w:bCs/>
                <w:sz w:val="20"/>
                <w:szCs w:val="20"/>
                <w:lang w:val="en-US"/>
              </w:rPr>
              <w:t>Exchange</w:t>
            </w:r>
          </w:p>
        </w:tc>
        <w:tc>
          <w:tcPr>
            <w:tcW w:w="6672" w:type="dxa"/>
            <w:gridSpan w:val="6"/>
            <w:tcBorders>
              <w:top w:val="single" w:sz="8" w:space="0" w:color="auto"/>
              <w:left w:val="nil"/>
              <w:bottom w:val="single" w:sz="8" w:space="0" w:color="auto"/>
              <w:right w:val="single" w:sz="8" w:space="0" w:color="000000"/>
            </w:tcBorders>
            <w:shd w:val="clear" w:color="000000" w:fill="B8CCE4"/>
            <w:vAlign w:val="bottom"/>
            <w:hideMark/>
          </w:tcPr>
          <w:p w:rsidR="002240ED" w:rsidRPr="008700DC" w:rsidRDefault="002240ED" w:rsidP="002240ED">
            <w:pPr>
              <w:jc w:val="center"/>
              <w:rPr>
                <w:rFonts w:ascii="Garamond" w:eastAsia="Times New Roman" w:hAnsi="Garamond" w:cs="Calibri"/>
                <w:b/>
                <w:bCs/>
                <w:sz w:val="18"/>
                <w:szCs w:val="18"/>
                <w:lang w:val="en-US"/>
              </w:rPr>
            </w:pPr>
            <w:r w:rsidRPr="008700DC">
              <w:rPr>
                <w:rFonts w:ascii="Garamond" w:eastAsia="Times New Roman" w:hAnsi="Garamond" w:cs="Calibri"/>
                <w:b/>
                <w:bCs/>
                <w:sz w:val="18"/>
                <w:szCs w:val="18"/>
                <w:lang w:val="en-US"/>
              </w:rPr>
              <w:t>Aug-19</w:t>
            </w:r>
          </w:p>
        </w:tc>
      </w:tr>
      <w:tr w:rsidR="002240ED" w:rsidRPr="008700DC" w:rsidTr="002240ED">
        <w:trPr>
          <w:trHeight w:val="315"/>
          <w:jc w:val="center"/>
        </w:trPr>
        <w:tc>
          <w:tcPr>
            <w:tcW w:w="3215" w:type="dxa"/>
            <w:vMerge/>
            <w:tcBorders>
              <w:top w:val="nil"/>
              <w:left w:val="single" w:sz="8" w:space="0" w:color="auto"/>
              <w:bottom w:val="single" w:sz="8" w:space="0" w:color="000000"/>
              <w:right w:val="single" w:sz="8" w:space="0" w:color="auto"/>
            </w:tcBorders>
            <w:vAlign w:val="center"/>
            <w:hideMark/>
          </w:tcPr>
          <w:p w:rsidR="002240ED" w:rsidRPr="008700DC" w:rsidRDefault="002240ED" w:rsidP="002240ED">
            <w:pPr>
              <w:rPr>
                <w:rFonts w:ascii="Garamond" w:eastAsia="Times New Roman" w:hAnsi="Garamond" w:cs="Calibri"/>
                <w:b/>
                <w:bCs/>
                <w:sz w:val="20"/>
                <w:szCs w:val="20"/>
                <w:lang w:val="en-US"/>
              </w:rPr>
            </w:pPr>
          </w:p>
        </w:tc>
        <w:tc>
          <w:tcPr>
            <w:tcW w:w="3451" w:type="dxa"/>
            <w:gridSpan w:val="3"/>
            <w:tcBorders>
              <w:top w:val="single" w:sz="8" w:space="0" w:color="auto"/>
              <w:left w:val="nil"/>
              <w:bottom w:val="single" w:sz="8" w:space="0" w:color="auto"/>
              <w:right w:val="single" w:sz="8" w:space="0" w:color="000000"/>
            </w:tcBorders>
            <w:shd w:val="clear" w:color="000000" w:fill="B8CCE4"/>
            <w:vAlign w:val="center"/>
            <w:hideMark/>
          </w:tcPr>
          <w:p w:rsidR="002240ED" w:rsidRPr="008700DC" w:rsidRDefault="002240ED" w:rsidP="002240ED">
            <w:pPr>
              <w:jc w:val="center"/>
              <w:rPr>
                <w:rFonts w:ascii="Garamond" w:eastAsia="Times New Roman" w:hAnsi="Garamond" w:cs="Calibri"/>
                <w:b/>
                <w:bCs/>
                <w:sz w:val="20"/>
                <w:szCs w:val="20"/>
                <w:lang w:bidi="hi-IN"/>
              </w:rPr>
            </w:pPr>
            <w:r w:rsidRPr="008700DC">
              <w:rPr>
                <w:rFonts w:ascii="Garamond" w:hAnsi="Garamond" w:cs="Calibri"/>
                <w:b/>
                <w:bCs/>
                <w:sz w:val="20"/>
                <w:szCs w:val="20"/>
              </w:rPr>
              <w:t xml:space="preserve"> Commodity Futures </w:t>
            </w:r>
          </w:p>
        </w:tc>
        <w:tc>
          <w:tcPr>
            <w:tcW w:w="3221" w:type="dxa"/>
            <w:gridSpan w:val="3"/>
            <w:tcBorders>
              <w:top w:val="single" w:sz="8" w:space="0" w:color="auto"/>
              <w:left w:val="nil"/>
              <w:bottom w:val="single" w:sz="8" w:space="0" w:color="auto"/>
              <w:right w:val="single" w:sz="8" w:space="0" w:color="000000"/>
            </w:tcBorders>
            <w:shd w:val="clear" w:color="000000" w:fill="B8CCE4"/>
            <w:vAlign w:val="center"/>
            <w:hideMark/>
          </w:tcPr>
          <w:p w:rsidR="002240ED" w:rsidRPr="008700DC" w:rsidRDefault="002240ED" w:rsidP="002240ED">
            <w:pPr>
              <w:jc w:val="center"/>
              <w:rPr>
                <w:rFonts w:ascii="Garamond" w:hAnsi="Garamond" w:cs="Calibri"/>
                <w:b/>
                <w:bCs/>
                <w:sz w:val="20"/>
                <w:szCs w:val="20"/>
              </w:rPr>
            </w:pPr>
            <w:r w:rsidRPr="008700DC">
              <w:rPr>
                <w:rFonts w:ascii="Garamond" w:hAnsi="Garamond" w:cs="Calibri"/>
                <w:b/>
                <w:bCs/>
                <w:sz w:val="20"/>
                <w:szCs w:val="20"/>
              </w:rPr>
              <w:t xml:space="preserve"> Commodity Options </w:t>
            </w:r>
          </w:p>
        </w:tc>
      </w:tr>
      <w:tr w:rsidR="002240ED" w:rsidRPr="008700DC" w:rsidTr="002240ED">
        <w:trPr>
          <w:trHeight w:val="795"/>
          <w:jc w:val="center"/>
        </w:trPr>
        <w:tc>
          <w:tcPr>
            <w:tcW w:w="3215" w:type="dxa"/>
            <w:vMerge/>
            <w:tcBorders>
              <w:top w:val="nil"/>
              <w:left w:val="single" w:sz="8" w:space="0" w:color="auto"/>
              <w:bottom w:val="single" w:sz="8" w:space="0" w:color="000000"/>
              <w:right w:val="single" w:sz="8" w:space="0" w:color="auto"/>
            </w:tcBorders>
            <w:vAlign w:val="center"/>
            <w:hideMark/>
          </w:tcPr>
          <w:p w:rsidR="002240ED" w:rsidRPr="008700DC" w:rsidRDefault="002240ED" w:rsidP="002240ED">
            <w:pPr>
              <w:rPr>
                <w:rFonts w:ascii="Garamond" w:eastAsia="Times New Roman" w:hAnsi="Garamond" w:cs="Calibri"/>
                <w:b/>
                <w:bCs/>
                <w:sz w:val="20"/>
                <w:szCs w:val="20"/>
                <w:lang w:val="en-US"/>
              </w:rPr>
            </w:pPr>
          </w:p>
        </w:tc>
        <w:tc>
          <w:tcPr>
            <w:tcW w:w="1323"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eastAsia="Times New Roman" w:hAnsi="Garamond" w:cs="Calibri"/>
                <w:b/>
                <w:bCs/>
                <w:sz w:val="20"/>
                <w:szCs w:val="20"/>
                <w:lang w:bidi="hi-IN"/>
              </w:rPr>
            </w:pPr>
            <w:r w:rsidRPr="0010072C">
              <w:rPr>
                <w:rFonts w:ascii="Garamond" w:hAnsi="Garamond" w:cs="Calibri"/>
                <w:b/>
                <w:bCs/>
                <w:sz w:val="20"/>
                <w:szCs w:val="20"/>
              </w:rPr>
              <w:t>Number of Contracts Traded</w:t>
            </w:r>
          </w:p>
        </w:tc>
        <w:tc>
          <w:tcPr>
            <w:tcW w:w="1054"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Notional Value</w:t>
            </w:r>
          </w:p>
        </w:tc>
        <w:tc>
          <w:tcPr>
            <w:tcW w:w="1074"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Open Interest</w:t>
            </w:r>
          </w:p>
        </w:tc>
        <w:tc>
          <w:tcPr>
            <w:tcW w:w="1164"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Number of Contracts Traded</w:t>
            </w:r>
          </w:p>
        </w:tc>
        <w:tc>
          <w:tcPr>
            <w:tcW w:w="1001"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Notional Value</w:t>
            </w:r>
          </w:p>
        </w:tc>
        <w:tc>
          <w:tcPr>
            <w:tcW w:w="1056" w:type="dxa"/>
            <w:tcBorders>
              <w:top w:val="nil"/>
              <w:left w:val="nil"/>
              <w:bottom w:val="single" w:sz="8" w:space="0" w:color="auto"/>
              <w:right w:val="single" w:sz="8" w:space="0" w:color="auto"/>
            </w:tcBorders>
            <w:shd w:val="clear" w:color="000000" w:fill="B8CCE4"/>
            <w:vAlign w:val="center"/>
            <w:hideMark/>
          </w:tcPr>
          <w:p w:rsidR="002240ED" w:rsidRPr="0010072C" w:rsidRDefault="002240ED" w:rsidP="002240ED">
            <w:pPr>
              <w:jc w:val="center"/>
              <w:rPr>
                <w:rFonts w:ascii="Garamond" w:hAnsi="Garamond" w:cs="Calibri"/>
                <w:b/>
                <w:bCs/>
                <w:sz w:val="20"/>
                <w:szCs w:val="20"/>
              </w:rPr>
            </w:pPr>
            <w:r w:rsidRPr="0010072C">
              <w:rPr>
                <w:rFonts w:ascii="Garamond" w:hAnsi="Garamond" w:cs="Calibri"/>
                <w:b/>
                <w:bCs/>
                <w:sz w:val="20"/>
                <w:szCs w:val="20"/>
              </w:rPr>
              <w:t>Open Interest</w:t>
            </w:r>
          </w:p>
        </w:tc>
      </w:tr>
      <w:tr w:rsidR="002240ED" w:rsidRPr="001F1950" w:rsidTr="002240ED">
        <w:trPr>
          <w:trHeight w:val="255"/>
          <w:jc w:val="center"/>
        </w:trPr>
        <w:tc>
          <w:tcPr>
            <w:tcW w:w="3215" w:type="dxa"/>
            <w:tcBorders>
              <w:top w:val="nil"/>
              <w:left w:val="single" w:sz="8" w:space="0" w:color="auto"/>
              <w:bottom w:val="nil"/>
              <w:right w:val="nil"/>
            </w:tcBorders>
            <w:shd w:val="clear" w:color="000000" w:fill="B8CCE4"/>
            <w:noWrap/>
            <w:vAlign w:val="center"/>
            <w:hideMark/>
          </w:tcPr>
          <w:p w:rsidR="002240ED" w:rsidRPr="001F1950" w:rsidRDefault="002240ED" w:rsidP="002240ED">
            <w:pPr>
              <w:rPr>
                <w:rFonts w:ascii="Garamond" w:eastAsia="Times New Roman" w:hAnsi="Garamond" w:cs="Calibri"/>
                <w:b/>
                <w:bCs/>
                <w:sz w:val="20"/>
                <w:szCs w:val="20"/>
                <w:lang w:bidi="hi-IN"/>
              </w:rPr>
            </w:pPr>
            <w:r w:rsidRPr="001F1950">
              <w:rPr>
                <w:rFonts w:ascii="Garamond" w:hAnsi="Garamond" w:cs="Calibri"/>
                <w:b/>
                <w:bCs/>
                <w:sz w:val="20"/>
                <w:szCs w:val="20"/>
              </w:rPr>
              <w:t>Americas</w:t>
            </w:r>
          </w:p>
        </w:tc>
        <w:tc>
          <w:tcPr>
            <w:tcW w:w="1323" w:type="dxa"/>
            <w:tcBorders>
              <w:top w:val="nil"/>
              <w:left w:val="single" w:sz="4" w:space="0" w:color="auto"/>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97,883,515</w:t>
            </w:r>
          </w:p>
        </w:tc>
        <w:tc>
          <w:tcPr>
            <w:tcW w:w="1054" w:type="dxa"/>
            <w:tcBorders>
              <w:top w:val="nil"/>
              <w:left w:val="nil"/>
              <w:bottom w:val="nil"/>
              <w:right w:val="nil"/>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5,156,349</w:t>
            </w:r>
          </w:p>
        </w:tc>
        <w:tc>
          <w:tcPr>
            <w:tcW w:w="1074" w:type="dxa"/>
            <w:tcBorders>
              <w:top w:val="nil"/>
              <w:left w:val="single" w:sz="4" w:space="0" w:color="auto"/>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17,984,152</w:t>
            </w:r>
          </w:p>
        </w:tc>
        <w:tc>
          <w:tcPr>
            <w:tcW w:w="1164" w:type="dxa"/>
            <w:tcBorders>
              <w:top w:val="nil"/>
              <w:left w:val="nil"/>
              <w:bottom w:val="nil"/>
              <w:right w:val="nil"/>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15,052,885</w:t>
            </w:r>
          </w:p>
        </w:tc>
        <w:tc>
          <w:tcPr>
            <w:tcW w:w="1001" w:type="dxa"/>
            <w:tcBorders>
              <w:top w:val="nil"/>
              <w:left w:val="single" w:sz="4" w:space="0" w:color="auto"/>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779,323</w:t>
            </w:r>
          </w:p>
        </w:tc>
        <w:tc>
          <w:tcPr>
            <w:tcW w:w="1056" w:type="dxa"/>
            <w:tcBorders>
              <w:top w:val="nil"/>
              <w:left w:val="nil"/>
              <w:bottom w:val="nil"/>
              <w:right w:val="single" w:sz="8"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12,273,207</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B3 - Brasil Bolsa Balcão</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119,451</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806</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66,455</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53,334</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7</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98,104</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Bolsa de Valores de Colombia</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45</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0</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269</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CME Group</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91,638,102</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5,031,327</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15,829,364</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14,065,112</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759,110</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11,006,455</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ICE Futures US</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5,973,719</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124,215</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2,042,719</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925,630</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20,205</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1,146,292</w:t>
            </w:r>
          </w:p>
        </w:tc>
      </w:tr>
      <w:tr w:rsidR="002240ED" w:rsidRPr="001F1950" w:rsidTr="002240ED">
        <w:trPr>
          <w:trHeight w:val="255"/>
          <w:jc w:val="center"/>
        </w:trPr>
        <w:tc>
          <w:tcPr>
            <w:tcW w:w="3215" w:type="dxa"/>
            <w:tcBorders>
              <w:top w:val="nil"/>
              <w:left w:val="single" w:sz="8" w:space="0" w:color="auto"/>
              <w:bottom w:val="nil"/>
              <w:right w:val="nil"/>
            </w:tcBorders>
            <w:shd w:val="clear" w:color="000000" w:fill="B8CCE4"/>
            <w:noWrap/>
            <w:vAlign w:val="center"/>
            <w:hideMark/>
          </w:tcPr>
          <w:p w:rsidR="002240ED" w:rsidRPr="001F1950" w:rsidRDefault="002240ED" w:rsidP="002240ED">
            <w:pPr>
              <w:rPr>
                <w:rFonts w:ascii="Garamond" w:hAnsi="Garamond" w:cs="Calibri"/>
                <w:b/>
                <w:bCs/>
                <w:sz w:val="20"/>
                <w:szCs w:val="20"/>
              </w:rPr>
            </w:pPr>
            <w:r w:rsidRPr="001F1950">
              <w:rPr>
                <w:rFonts w:ascii="Garamond" w:hAnsi="Garamond" w:cs="Calibri"/>
                <w:b/>
                <w:bCs/>
                <w:sz w:val="20"/>
                <w:szCs w:val="20"/>
              </w:rPr>
              <w:t>Asia - Pacific</w:t>
            </w:r>
          </w:p>
        </w:tc>
        <w:tc>
          <w:tcPr>
            <w:tcW w:w="1323" w:type="dxa"/>
            <w:tcBorders>
              <w:top w:val="nil"/>
              <w:left w:val="single" w:sz="4" w:space="0" w:color="auto"/>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419,320,069</w:t>
            </w:r>
          </w:p>
        </w:tc>
        <w:tc>
          <w:tcPr>
            <w:tcW w:w="1054" w:type="dxa"/>
            <w:tcBorders>
              <w:top w:val="nil"/>
              <w:left w:val="nil"/>
              <w:bottom w:val="nil"/>
              <w:right w:val="nil"/>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2,754,245</w:t>
            </w:r>
          </w:p>
        </w:tc>
        <w:tc>
          <w:tcPr>
            <w:tcW w:w="1074" w:type="dxa"/>
            <w:tcBorders>
              <w:top w:val="nil"/>
              <w:left w:val="single" w:sz="4" w:space="0" w:color="auto"/>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18,991,121</w:t>
            </w:r>
          </w:p>
        </w:tc>
        <w:tc>
          <w:tcPr>
            <w:tcW w:w="1164" w:type="dxa"/>
            <w:tcBorders>
              <w:top w:val="nil"/>
              <w:left w:val="nil"/>
              <w:bottom w:val="nil"/>
              <w:right w:val="nil"/>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4,205,078</w:t>
            </w:r>
          </w:p>
        </w:tc>
        <w:tc>
          <w:tcPr>
            <w:tcW w:w="1001" w:type="dxa"/>
            <w:tcBorders>
              <w:top w:val="nil"/>
              <w:left w:val="single" w:sz="4" w:space="0" w:color="auto"/>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4,697</w:t>
            </w:r>
          </w:p>
        </w:tc>
        <w:tc>
          <w:tcPr>
            <w:tcW w:w="1056" w:type="dxa"/>
            <w:tcBorders>
              <w:top w:val="nil"/>
              <w:left w:val="nil"/>
              <w:bottom w:val="nil"/>
              <w:right w:val="single" w:sz="8"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2,207,251</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ASX Australian Securities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41,733</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2,771</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92,266</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6,463</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1,217</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36,819</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Bursa Malaysia Derivatives</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998,582</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13,123</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170,434</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7,700</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9,050</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Dalian Commodity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128,256,752</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919,050</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6,523,643</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2,458,540</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125</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534,839</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Hong Kong Exchanges and Clearing</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85,343</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3,395</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3,016</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Indonesia Commodity and Derivatives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5,869</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129</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 xml:space="preserve">Multi Commodity Exchange of India </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28,694,742</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102,759</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239,457</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288,287</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3,265</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14,103</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NZX Limited</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35,348</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123</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43,886</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8,224</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29</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15,563</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Shanghai Futures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158,034,336</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1,678,785</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6,773,711</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Singapore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2,049,995</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853,620</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689,267</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1,409,785</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Taiwan Futures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22,655</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394</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1,425</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5,952</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54</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947</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Thailand Futures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925,704</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54,070</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Zhengzhou Commodity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100,151,577</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33,637</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4,234,558</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740,645</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8</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186,145</w:t>
            </w:r>
          </w:p>
        </w:tc>
      </w:tr>
      <w:tr w:rsidR="002240ED" w:rsidRPr="001F1950" w:rsidTr="002240ED">
        <w:trPr>
          <w:trHeight w:val="255"/>
          <w:jc w:val="center"/>
        </w:trPr>
        <w:tc>
          <w:tcPr>
            <w:tcW w:w="3215" w:type="dxa"/>
            <w:tcBorders>
              <w:top w:val="nil"/>
              <w:left w:val="single" w:sz="8" w:space="0" w:color="auto"/>
              <w:bottom w:val="nil"/>
              <w:right w:val="nil"/>
            </w:tcBorders>
            <w:shd w:val="clear" w:color="000000" w:fill="B8CCE4"/>
            <w:noWrap/>
            <w:vAlign w:val="center"/>
            <w:hideMark/>
          </w:tcPr>
          <w:p w:rsidR="002240ED" w:rsidRPr="001F1950" w:rsidRDefault="002240ED" w:rsidP="002240ED">
            <w:pPr>
              <w:rPr>
                <w:rFonts w:ascii="Garamond" w:hAnsi="Garamond" w:cs="Calibri"/>
                <w:b/>
                <w:bCs/>
                <w:sz w:val="20"/>
                <w:szCs w:val="20"/>
              </w:rPr>
            </w:pPr>
            <w:r w:rsidRPr="001F1950">
              <w:rPr>
                <w:rFonts w:ascii="Garamond" w:hAnsi="Garamond" w:cs="Calibri"/>
                <w:b/>
                <w:bCs/>
                <w:sz w:val="20"/>
                <w:szCs w:val="20"/>
              </w:rPr>
              <w:t>Europe - Africa - Middle East</w:t>
            </w:r>
          </w:p>
        </w:tc>
        <w:tc>
          <w:tcPr>
            <w:tcW w:w="1323" w:type="dxa"/>
            <w:tcBorders>
              <w:top w:val="nil"/>
              <w:left w:val="single" w:sz="4" w:space="0" w:color="auto"/>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136,986,911</w:t>
            </w:r>
          </w:p>
        </w:tc>
        <w:tc>
          <w:tcPr>
            <w:tcW w:w="1054" w:type="dxa"/>
            <w:tcBorders>
              <w:top w:val="nil"/>
              <w:left w:val="nil"/>
              <w:bottom w:val="nil"/>
              <w:right w:val="nil"/>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3,430,887</w:t>
            </w:r>
          </w:p>
        </w:tc>
        <w:tc>
          <w:tcPr>
            <w:tcW w:w="1074" w:type="dxa"/>
            <w:tcBorders>
              <w:top w:val="nil"/>
              <w:left w:val="single" w:sz="4" w:space="0" w:color="auto"/>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16,045,758</w:t>
            </w:r>
          </w:p>
        </w:tc>
        <w:tc>
          <w:tcPr>
            <w:tcW w:w="1164" w:type="dxa"/>
            <w:tcBorders>
              <w:top w:val="nil"/>
              <w:left w:val="nil"/>
              <w:bottom w:val="nil"/>
              <w:right w:val="nil"/>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4,951,097</w:t>
            </w:r>
          </w:p>
        </w:tc>
        <w:tc>
          <w:tcPr>
            <w:tcW w:w="1001" w:type="dxa"/>
            <w:tcBorders>
              <w:top w:val="nil"/>
              <w:left w:val="single" w:sz="4" w:space="0" w:color="auto"/>
              <w:bottom w:val="nil"/>
              <w:right w:val="single" w:sz="4"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58,426</w:t>
            </w:r>
          </w:p>
        </w:tc>
        <w:tc>
          <w:tcPr>
            <w:tcW w:w="1056" w:type="dxa"/>
            <w:tcBorders>
              <w:top w:val="nil"/>
              <w:left w:val="nil"/>
              <w:bottom w:val="nil"/>
              <w:right w:val="single" w:sz="8" w:space="0" w:color="auto"/>
            </w:tcBorders>
            <w:shd w:val="clear" w:color="000000" w:fill="B8CCE4"/>
            <w:noWrap/>
            <w:vAlign w:val="center"/>
            <w:hideMark/>
          </w:tcPr>
          <w:p w:rsidR="002240ED" w:rsidRPr="001F1950" w:rsidRDefault="002240ED" w:rsidP="002240ED">
            <w:pPr>
              <w:jc w:val="right"/>
              <w:rPr>
                <w:rFonts w:ascii="Garamond" w:hAnsi="Garamond" w:cs="Calibri"/>
                <w:sz w:val="20"/>
                <w:szCs w:val="20"/>
              </w:rPr>
            </w:pPr>
            <w:r w:rsidRPr="001F1950">
              <w:rPr>
                <w:rFonts w:ascii="Garamond" w:hAnsi="Garamond" w:cs="Calibri"/>
                <w:sz w:val="20"/>
                <w:szCs w:val="20"/>
              </w:rPr>
              <w:t>6,048,707</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Borsa Istanbul</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8,474,251</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1,617</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567,230</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Dubai Gold and Commodities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65,396</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1,401</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Johannesburg Stock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London Metal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14,071,454</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1,308,369</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2,229,254</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476,997</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52,595</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350,247</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LSE Group</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40</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112</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NA</w:t>
            </w:r>
          </w:p>
        </w:tc>
      </w:tr>
      <w:tr w:rsidR="002240ED" w:rsidRPr="008700DC" w:rsidTr="002240ED">
        <w:trPr>
          <w:trHeight w:val="255"/>
          <w:jc w:val="center"/>
        </w:trPr>
        <w:tc>
          <w:tcPr>
            <w:tcW w:w="3215" w:type="dxa"/>
            <w:tcBorders>
              <w:top w:val="nil"/>
              <w:left w:val="single" w:sz="8" w:space="0" w:color="auto"/>
              <w:bottom w:val="nil"/>
              <w:right w:val="nil"/>
            </w:tcBorders>
            <w:shd w:val="clear" w:color="auto" w:fill="auto"/>
            <w:noWrap/>
            <w:vAlign w:val="center"/>
            <w:hideMark/>
          </w:tcPr>
          <w:p w:rsidR="002240ED" w:rsidRPr="008700DC" w:rsidRDefault="002240ED" w:rsidP="002240ED">
            <w:pPr>
              <w:rPr>
                <w:rFonts w:ascii="Garamond" w:hAnsi="Garamond" w:cs="Calibri"/>
                <w:sz w:val="20"/>
                <w:szCs w:val="20"/>
              </w:rPr>
            </w:pPr>
            <w:r w:rsidRPr="008700DC">
              <w:rPr>
                <w:rFonts w:ascii="Garamond" w:hAnsi="Garamond" w:cs="Calibri"/>
                <w:sz w:val="20"/>
                <w:szCs w:val="20"/>
              </w:rPr>
              <w:t>Moscow Exchange</w:t>
            </w:r>
          </w:p>
        </w:tc>
        <w:tc>
          <w:tcPr>
            <w:tcW w:w="1323"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74,000,538</w:t>
            </w:r>
          </w:p>
        </w:tc>
        <w:tc>
          <w:tcPr>
            <w:tcW w:w="105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45,430</w:t>
            </w:r>
          </w:p>
        </w:tc>
        <w:tc>
          <w:tcPr>
            <w:tcW w:w="1074"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1,302,644</w:t>
            </w:r>
          </w:p>
        </w:tc>
        <w:tc>
          <w:tcPr>
            <w:tcW w:w="1164" w:type="dxa"/>
            <w:tcBorders>
              <w:top w:val="nil"/>
              <w:left w:val="nil"/>
              <w:bottom w:val="nil"/>
              <w:right w:val="nil"/>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1,146,082</w:t>
            </w:r>
          </w:p>
        </w:tc>
        <w:tc>
          <w:tcPr>
            <w:tcW w:w="1001" w:type="dxa"/>
            <w:tcBorders>
              <w:top w:val="nil"/>
              <w:left w:val="single" w:sz="4" w:space="0" w:color="auto"/>
              <w:bottom w:val="nil"/>
              <w:right w:val="single" w:sz="4"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670</w:t>
            </w:r>
          </w:p>
        </w:tc>
        <w:tc>
          <w:tcPr>
            <w:tcW w:w="1056" w:type="dxa"/>
            <w:tcBorders>
              <w:top w:val="nil"/>
              <w:left w:val="nil"/>
              <w:bottom w:val="nil"/>
              <w:right w:val="single" w:sz="8" w:space="0" w:color="auto"/>
            </w:tcBorders>
            <w:shd w:val="clear" w:color="auto" w:fill="auto"/>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279,980</w:t>
            </w:r>
          </w:p>
        </w:tc>
      </w:tr>
      <w:tr w:rsidR="002240ED" w:rsidRPr="008700DC" w:rsidTr="002240ED">
        <w:trPr>
          <w:trHeight w:val="270"/>
          <w:jc w:val="center"/>
        </w:trPr>
        <w:tc>
          <w:tcPr>
            <w:tcW w:w="3215" w:type="dxa"/>
            <w:tcBorders>
              <w:top w:val="single" w:sz="4" w:space="0" w:color="95B3D7"/>
              <w:left w:val="single" w:sz="8" w:space="0" w:color="auto"/>
              <w:bottom w:val="single" w:sz="8" w:space="0" w:color="auto"/>
              <w:right w:val="nil"/>
            </w:tcBorders>
            <w:shd w:val="clear" w:color="DBE5F1" w:fill="B8CCE4"/>
            <w:noWrap/>
            <w:vAlign w:val="center"/>
            <w:hideMark/>
          </w:tcPr>
          <w:p w:rsidR="002240ED" w:rsidRPr="008700DC" w:rsidRDefault="002240ED" w:rsidP="002240ED">
            <w:pPr>
              <w:rPr>
                <w:rFonts w:ascii="Garamond" w:hAnsi="Garamond" w:cs="Calibri"/>
                <w:b/>
                <w:bCs/>
                <w:sz w:val="20"/>
                <w:szCs w:val="20"/>
              </w:rPr>
            </w:pPr>
            <w:r w:rsidRPr="008700DC">
              <w:rPr>
                <w:rFonts w:ascii="Garamond" w:hAnsi="Garamond" w:cs="Calibri"/>
                <w:b/>
                <w:bCs/>
                <w:sz w:val="20"/>
                <w:szCs w:val="20"/>
              </w:rPr>
              <w:t>Grand Total</w:t>
            </w:r>
          </w:p>
        </w:tc>
        <w:tc>
          <w:tcPr>
            <w:tcW w:w="1323" w:type="dxa"/>
            <w:tcBorders>
              <w:top w:val="single" w:sz="4" w:space="0" w:color="95B3D7"/>
              <w:left w:val="single" w:sz="4" w:space="0" w:color="auto"/>
              <w:bottom w:val="single" w:sz="8" w:space="0" w:color="auto"/>
              <w:right w:val="single" w:sz="4" w:space="0" w:color="auto"/>
            </w:tcBorders>
            <w:shd w:val="clear" w:color="DBE5F1" w:fill="B8CCE4"/>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654,190,495</w:t>
            </w:r>
          </w:p>
        </w:tc>
        <w:tc>
          <w:tcPr>
            <w:tcW w:w="1054" w:type="dxa"/>
            <w:tcBorders>
              <w:top w:val="single" w:sz="4" w:space="0" w:color="95B3D7"/>
              <w:left w:val="nil"/>
              <w:bottom w:val="single" w:sz="8" w:space="0" w:color="auto"/>
              <w:right w:val="nil"/>
            </w:tcBorders>
            <w:shd w:val="clear" w:color="DBE5F1" w:fill="B8CCE4"/>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11,341,481</w:t>
            </w:r>
          </w:p>
        </w:tc>
        <w:tc>
          <w:tcPr>
            <w:tcW w:w="1074" w:type="dxa"/>
            <w:tcBorders>
              <w:top w:val="single" w:sz="4" w:space="0" w:color="95B3D7"/>
              <w:left w:val="single" w:sz="4" w:space="0" w:color="auto"/>
              <w:bottom w:val="single" w:sz="8" w:space="0" w:color="auto"/>
              <w:right w:val="single" w:sz="4" w:space="0" w:color="auto"/>
            </w:tcBorders>
            <w:shd w:val="clear" w:color="DBE5F1" w:fill="B8CCE4"/>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53,021,031</w:t>
            </w:r>
          </w:p>
        </w:tc>
        <w:tc>
          <w:tcPr>
            <w:tcW w:w="1164" w:type="dxa"/>
            <w:tcBorders>
              <w:top w:val="single" w:sz="4" w:space="0" w:color="95B3D7"/>
              <w:left w:val="nil"/>
              <w:bottom w:val="single" w:sz="8" w:space="0" w:color="auto"/>
              <w:right w:val="nil"/>
            </w:tcBorders>
            <w:shd w:val="clear" w:color="DBE5F1" w:fill="B8CCE4"/>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24,209,060</w:t>
            </w:r>
          </w:p>
        </w:tc>
        <w:tc>
          <w:tcPr>
            <w:tcW w:w="1001" w:type="dxa"/>
            <w:tcBorders>
              <w:top w:val="single" w:sz="4" w:space="0" w:color="95B3D7"/>
              <w:left w:val="single" w:sz="4" w:space="0" w:color="auto"/>
              <w:bottom w:val="single" w:sz="8" w:space="0" w:color="auto"/>
              <w:right w:val="single" w:sz="4" w:space="0" w:color="auto"/>
            </w:tcBorders>
            <w:shd w:val="clear" w:color="DBE5F1" w:fill="B8CCE4"/>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842,446</w:t>
            </w:r>
          </w:p>
        </w:tc>
        <w:tc>
          <w:tcPr>
            <w:tcW w:w="1056" w:type="dxa"/>
            <w:tcBorders>
              <w:top w:val="single" w:sz="4" w:space="0" w:color="95B3D7"/>
              <w:left w:val="nil"/>
              <w:bottom w:val="single" w:sz="8" w:space="0" w:color="auto"/>
              <w:right w:val="single" w:sz="8" w:space="0" w:color="auto"/>
            </w:tcBorders>
            <w:shd w:val="clear" w:color="DBE5F1" w:fill="B8CCE4"/>
            <w:noWrap/>
            <w:vAlign w:val="center"/>
            <w:hideMark/>
          </w:tcPr>
          <w:p w:rsidR="002240ED" w:rsidRDefault="002240ED" w:rsidP="002240ED">
            <w:pPr>
              <w:jc w:val="right"/>
              <w:rPr>
                <w:rFonts w:ascii="Garamond" w:hAnsi="Garamond" w:cs="Calibri"/>
                <w:sz w:val="20"/>
                <w:szCs w:val="20"/>
              </w:rPr>
            </w:pPr>
            <w:r>
              <w:rPr>
                <w:rFonts w:ascii="Garamond" w:hAnsi="Garamond" w:cs="Calibri"/>
                <w:sz w:val="20"/>
                <w:szCs w:val="20"/>
              </w:rPr>
              <w:t>20,529,165</w:t>
            </w:r>
          </w:p>
        </w:tc>
      </w:tr>
    </w:tbl>
    <w:p w:rsidR="002240ED" w:rsidRPr="00842D76" w:rsidRDefault="002240ED" w:rsidP="002240ED">
      <w:pPr>
        <w:jc w:val="both"/>
        <w:rPr>
          <w:rFonts w:ascii="Garamond" w:hAnsi="Garamond"/>
          <w:color w:val="0070C0"/>
        </w:rPr>
      </w:pPr>
    </w:p>
    <w:p w:rsidR="002240ED" w:rsidRPr="00D87879" w:rsidRDefault="002240ED" w:rsidP="002240ED">
      <w:pPr>
        <w:jc w:val="both"/>
        <w:rPr>
          <w:rFonts w:ascii="Garamond" w:hAnsi="Garamond"/>
          <w:sz w:val="18"/>
        </w:rPr>
      </w:pPr>
      <w:r w:rsidRPr="00D87879">
        <w:rPr>
          <w:rFonts w:ascii="Garamond" w:hAnsi="Garamond"/>
          <w:sz w:val="18"/>
        </w:rPr>
        <w:t>NA: Not Available</w:t>
      </w:r>
    </w:p>
    <w:p w:rsidR="002240ED" w:rsidRPr="00D87879" w:rsidRDefault="002240ED" w:rsidP="002240ED">
      <w:pPr>
        <w:jc w:val="both"/>
        <w:outlineLvl w:val="0"/>
        <w:rPr>
          <w:rFonts w:ascii="Garamond" w:hAnsi="Garamond"/>
          <w:b/>
          <w:sz w:val="18"/>
        </w:rPr>
      </w:pPr>
      <w:r w:rsidRPr="00D87879">
        <w:rPr>
          <w:rFonts w:ascii="Garamond" w:hAnsi="Garamond"/>
          <w:b/>
          <w:sz w:val="18"/>
        </w:rPr>
        <w:t>Source: World Federation of Exchanges</w:t>
      </w:r>
    </w:p>
    <w:p w:rsidR="002240ED" w:rsidRPr="00842D76" w:rsidRDefault="002240ED" w:rsidP="002240ED">
      <w:pPr>
        <w:rPr>
          <w:rFonts w:ascii="Garamond" w:hAnsi="Garamond"/>
          <w:b/>
          <w:color w:val="0070C0"/>
        </w:rPr>
      </w:pPr>
    </w:p>
    <w:p w:rsidR="002240ED" w:rsidRPr="00A26269" w:rsidRDefault="002240ED" w:rsidP="002240ED">
      <w:pPr>
        <w:outlineLvl w:val="0"/>
        <w:rPr>
          <w:rFonts w:ascii="Garamond" w:hAnsi="Garamond"/>
          <w:b/>
        </w:rPr>
      </w:pPr>
      <w:r w:rsidRPr="00A26269">
        <w:rPr>
          <w:rFonts w:ascii="Garamond" w:hAnsi="Garamond"/>
          <w:b/>
        </w:rPr>
        <w:t>Debt Market:</w:t>
      </w:r>
    </w:p>
    <w:p w:rsidR="002240ED" w:rsidRPr="00A26269" w:rsidRDefault="002240ED" w:rsidP="002240ED">
      <w:pPr>
        <w:jc w:val="both"/>
        <w:rPr>
          <w:rFonts w:ascii="Garamond" w:eastAsia="Times New Roman" w:hAnsi="Garamond" w:cs="Arial"/>
          <w:lang w:eastAsia="en-GB"/>
        </w:rPr>
      </w:pPr>
    </w:p>
    <w:p w:rsidR="002240ED" w:rsidRPr="00A26269" w:rsidRDefault="002240ED" w:rsidP="002240ED">
      <w:pPr>
        <w:pStyle w:val="ListParagraph"/>
        <w:numPr>
          <w:ilvl w:val="0"/>
          <w:numId w:val="34"/>
        </w:numPr>
        <w:spacing w:after="0" w:line="240" w:lineRule="auto"/>
        <w:jc w:val="both"/>
        <w:rPr>
          <w:rFonts w:ascii="Garamond" w:eastAsia="Times New Roman" w:hAnsi="Garamond" w:cs="Arial"/>
          <w:lang w:eastAsia="en-GB"/>
        </w:rPr>
      </w:pPr>
      <w:r w:rsidRPr="00A26269">
        <w:rPr>
          <w:rFonts w:ascii="Garamond" w:eastAsia="Times New Roman" w:hAnsi="Garamond" w:cs="Arial"/>
          <w:lang w:eastAsia="en-GB"/>
        </w:rPr>
        <w:t xml:space="preserve">Yields for the first half of September remained high compared to the second half.  The continuing geopolitical developments and growth concerns are affecting the bond market for some time.  </w:t>
      </w:r>
    </w:p>
    <w:p w:rsidR="002240ED" w:rsidRPr="00A26269" w:rsidRDefault="002240ED" w:rsidP="002240ED">
      <w:pPr>
        <w:pStyle w:val="ListParagraph"/>
        <w:numPr>
          <w:ilvl w:val="0"/>
          <w:numId w:val="34"/>
        </w:numPr>
        <w:spacing w:after="0" w:line="240" w:lineRule="auto"/>
        <w:jc w:val="both"/>
        <w:rPr>
          <w:rFonts w:ascii="Garamond" w:eastAsia="Times New Roman" w:hAnsi="Garamond" w:cs="Arial"/>
          <w:lang w:eastAsia="en-GB"/>
        </w:rPr>
      </w:pPr>
      <w:r w:rsidRPr="00A26269">
        <w:rPr>
          <w:rFonts w:ascii="Garamond" w:eastAsia="Times New Roman" w:hAnsi="Garamond" w:cs="Arial"/>
          <w:lang w:eastAsia="en-GB"/>
        </w:rPr>
        <w:t xml:space="preserve">The Federal Reserve reduced the policy rate by 25 basis points in September 2019. The European Central Bank has cut its deposit rates to a record low of -0.5% from -0.4 per cent.  The ECB has also approved a fresh stimulus package and would be restarting the bond repurchase of 20 billion euros a month from November 2019.   </w:t>
      </w:r>
    </w:p>
    <w:p w:rsidR="002240ED" w:rsidRPr="00A26269" w:rsidRDefault="002240ED" w:rsidP="002240ED">
      <w:pPr>
        <w:pStyle w:val="ListParagraph"/>
        <w:numPr>
          <w:ilvl w:val="0"/>
          <w:numId w:val="34"/>
        </w:numPr>
        <w:spacing w:after="0" w:line="240" w:lineRule="auto"/>
        <w:jc w:val="both"/>
        <w:rPr>
          <w:rFonts w:ascii="Garamond" w:eastAsia="Times New Roman" w:hAnsi="Garamond" w:cs="Arial"/>
          <w:lang w:eastAsia="en-GB"/>
        </w:rPr>
      </w:pPr>
      <w:r w:rsidRPr="00A26269">
        <w:rPr>
          <w:rFonts w:ascii="Garamond" w:eastAsia="Times New Roman" w:hAnsi="Garamond" w:cs="Arial"/>
          <w:lang w:eastAsia="en-GB"/>
        </w:rPr>
        <w:t>For US, the 10 year bond yield has hit 3 years low in September 2019. On September 3, 2019 the yield was 1.46. The yield has dropped for all the developed economies compared to September 2018.</w:t>
      </w:r>
    </w:p>
    <w:p w:rsidR="002240ED" w:rsidRPr="00A26269" w:rsidRDefault="002240ED" w:rsidP="002240ED">
      <w:pPr>
        <w:pStyle w:val="ListParagraph"/>
        <w:numPr>
          <w:ilvl w:val="0"/>
          <w:numId w:val="34"/>
        </w:numPr>
        <w:spacing w:after="0" w:line="240" w:lineRule="auto"/>
        <w:jc w:val="both"/>
        <w:rPr>
          <w:rFonts w:ascii="Garamond" w:eastAsia="Times New Roman" w:hAnsi="Garamond" w:cs="Arial"/>
          <w:lang w:eastAsia="en-GB"/>
        </w:rPr>
      </w:pPr>
      <w:r w:rsidRPr="00A26269">
        <w:rPr>
          <w:rFonts w:ascii="Garamond" w:eastAsia="Times New Roman" w:hAnsi="Garamond" w:cs="Arial"/>
          <w:lang w:eastAsia="en-GB"/>
        </w:rPr>
        <w:t>In the developed nations bond yields gained marginally for some economies, the yield went up for US by 17bps, for Japan by 6bps and in the BRICS group, Indian bond yields gained by 14bps and China by 8bps.</w:t>
      </w:r>
    </w:p>
    <w:p w:rsidR="002240ED" w:rsidRDefault="002240ED" w:rsidP="002240ED">
      <w:pPr>
        <w:jc w:val="both"/>
        <w:rPr>
          <w:rFonts w:ascii="Garamond" w:eastAsia="Times New Roman" w:hAnsi="Garamond" w:cs="Arial"/>
          <w:color w:val="0070C0"/>
          <w:lang w:eastAsia="en-GB"/>
        </w:rPr>
      </w:pPr>
      <w:r w:rsidRPr="00842D76">
        <w:rPr>
          <w:rFonts w:ascii="Garamond" w:eastAsia="Times New Roman" w:hAnsi="Garamond" w:cs="Arial"/>
          <w:color w:val="0070C0"/>
          <w:lang w:eastAsia="en-GB"/>
        </w:rPr>
        <w:t xml:space="preserve"> </w:t>
      </w:r>
    </w:p>
    <w:p w:rsidR="002240ED" w:rsidRDefault="002240ED" w:rsidP="002240ED">
      <w:pPr>
        <w:jc w:val="both"/>
        <w:rPr>
          <w:rFonts w:ascii="Garamond" w:eastAsia="Times New Roman" w:hAnsi="Garamond" w:cs="Arial"/>
          <w:color w:val="0070C0"/>
          <w:lang w:eastAsia="en-GB"/>
        </w:rPr>
      </w:pPr>
    </w:p>
    <w:p w:rsidR="002240ED" w:rsidRDefault="002240ED" w:rsidP="002240ED">
      <w:pPr>
        <w:jc w:val="both"/>
        <w:rPr>
          <w:rFonts w:ascii="Garamond" w:eastAsia="Times New Roman" w:hAnsi="Garamond" w:cs="Arial"/>
          <w:color w:val="0070C0"/>
          <w:lang w:eastAsia="en-GB"/>
        </w:rPr>
      </w:pPr>
    </w:p>
    <w:p w:rsidR="002240ED" w:rsidRDefault="002240ED" w:rsidP="002240ED">
      <w:pPr>
        <w:jc w:val="both"/>
        <w:rPr>
          <w:rFonts w:ascii="Garamond" w:eastAsia="Times New Roman" w:hAnsi="Garamond" w:cs="Arial"/>
          <w:color w:val="0070C0"/>
          <w:lang w:eastAsia="en-GB"/>
        </w:rPr>
      </w:pPr>
    </w:p>
    <w:p w:rsidR="002240ED" w:rsidRDefault="002240ED" w:rsidP="002240ED">
      <w:pPr>
        <w:jc w:val="both"/>
        <w:rPr>
          <w:rFonts w:ascii="Garamond" w:eastAsia="Times New Roman" w:hAnsi="Garamond" w:cs="Arial"/>
          <w:color w:val="0070C0"/>
          <w:lang w:eastAsia="en-GB"/>
        </w:rPr>
      </w:pPr>
    </w:p>
    <w:p w:rsidR="002240ED" w:rsidRDefault="002240ED" w:rsidP="002240ED">
      <w:pPr>
        <w:jc w:val="both"/>
        <w:rPr>
          <w:rFonts w:ascii="Garamond" w:eastAsia="Times New Roman" w:hAnsi="Garamond" w:cs="Arial"/>
          <w:color w:val="0070C0"/>
          <w:lang w:eastAsia="en-GB"/>
        </w:rPr>
      </w:pPr>
    </w:p>
    <w:p w:rsidR="002240ED" w:rsidRDefault="002240ED" w:rsidP="002240ED">
      <w:pPr>
        <w:jc w:val="both"/>
        <w:rPr>
          <w:rFonts w:ascii="Garamond" w:eastAsia="Times New Roman" w:hAnsi="Garamond" w:cs="Arial"/>
          <w:color w:val="0070C0"/>
          <w:lang w:eastAsia="en-GB"/>
        </w:rPr>
      </w:pPr>
    </w:p>
    <w:p w:rsidR="002240ED" w:rsidRDefault="002240ED" w:rsidP="002240ED">
      <w:pPr>
        <w:jc w:val="both"/>
        <w:rPr>
          <w:rFonts w:ascii="Garamond" w:eastAsia="Times New Roman" w:hAnsi="Garamond" w:cs="Arial"/>
          <w:color w:val="0070C0"/>
          <w:lang w:eastAsia="en-GB"/>
        </w:rPr>
      </w:pPr>
    </w:p>
    <w:p w:rsidR="002240ED" w:rsidRPr="00842D76" w:rsidRDefault="002240ED" w:rsidP="002240ED">
      <w:pPr>
        <w:jc w:val="both"/>
        <w:rPr>
          <w:rFonts w:ascii="Garamond" w:hAnsi="Garamond"/>
          <w:b/>
          <w:color w:val="0070C0"/>
        </w:rPr>
      </w:pPr>
    </w:p>
    <w:p w:rsidR="002240ED" w:rsidRPr="00B13940" w:rsidRDefault="002240ED" w:rsidP="002240ED">
      <w:pPr>
        <w:jc w:val="both"/>
        <w:outlineLvl w:val="0"/>
        <w:rPr>
          <w:rFonts w:ascii="Garamond" w:hAnsi="Garamond"/>
          <w:b/>
        </w:rPr>
      </w:pPr>
      <w:r w:rsidRPr="00B13940">
        <w:rPr>
          <w:rFonts w:ascii="Garamond" w:hAnsi="Garamond"/>
          <w:b/>
        </w:rPr>
        <w:lastRenderedPageBreak/>
        <w:t>Chart 3: Movement of 10 year Government Bond Yields in Developed Nations</w:t>
      </w:r>
    </w:p>
    <w:p w:rsidR="002240ED" w:rsidRPr="00B13940" w:rsidRDefault="002240ED" w:rsidP="002240ED">
      <w:pPr>
        <w:jc w:val="both"/>
        <w:outlineLvl w:val="0"/>
        <w:rPr>
          <w:rFonts w:ascii="Garamond" w:hAnsi="Garamond"/>
          <w:b/>
        </w:rPr>
      </w:pPr>
      <w:r w:rsidRPr="00B13940">
        <w:rPr>
          <w:noProof/>
          <w:lang w:val="en-US" w:bidi="hi-IN"/>
        </w:rPr>
        <w:drawing>
          <wp:inline distT="0" distB="0" distL="0" distR="0" wp14:anchorId="1C4FD63D" wp14:editId="3DDA945D">
            <wp:extent cx="5886450" cy="42100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240ED" w:rsidRPr="00B13940" w:rsidRDefault="002240ED" w:rsidP="002240ED">
      <w:pPr>
        <w:jc w:val="both"/>
        <w:outlineLvl w:val="0"/>
        <w:rPr>
          <w:rFonts w:ascii="Garamond" w:hAnsi="Garamond"/>
          <w:b/>
        </w:rPr>
      </w:pPr>
    </w:p>
    <w:p w:rsidR="002240ED" w:rsidRPr="00B13940" w:rsidRDefault="002240ED" w:rsidP="002240ED">
      <w:pPr>
        <w:jc w:val="both"/>
        <w:outlineLvl w:val="0"/>
        <w:rPr>
          <w:rFonts w:ascii="Garamond" w:hAnsi="Garamond"/>
          <w:b/>
        </w:rPr>
      </w:pPr>
      <w:r w:rsidRPr="00B13940">
        <w:rPr>
          <w:rFonts w:ascii="Garamond" w:hAnsi="Garamond"/>
          <w:b/>
          <w:sz w:val="20"/>
        </w:rPr>
        <w:t xml:space="preserve">Source: </w:t>
      </w:r>
      <w:r w:rsidRPr="00B13940">
        <w:rPr>
          <w:rFonts w:ascii="Garamond" w:hAnsi="Garamond"/>
          <w:sz w:val="20"/>
        </w:rPr>
        <w:t>Bloomberg</w:t>
      </w:r>
    </w:p>
    <w:p w:rsidR="002240ED" w:rsidRPr="00B13940" w:rsidRDefault="002240ED" w:rsidP="002240ED">
      <w:pPr>
        <w:jc w:val="both"/>
        <w:rPr>
          <w:rFonts w:ascii="Garamond" w:eastAsia="Times New Roman" w:hAnsi="Garamond" w:cs="Arial"/>
          <w:lang w:eastAsia="en-GB"/>
        </w:rPr>
      </w:pPr>
    </w:p>
    <w:p w:rsidR="002240ED" w:rsidRPr="00B13940" w:rsidRDefault="002240ED" w:rsidP="002240ED">
      <w:pPr>
        <w:jc w:val="both"/>
        <w:outlineLvl w:val="0"/>
        <w:rPr>
          <w:rFonts w:ascii="Garamond" w:hAnsi="Garamond"/>
          <w:b/>
        </w:rPr>
      </w:pPr>
      <w:r w:rsidRPr="00B13940">
        <w:rPr>
          <w:rFonts w:ascii="Garamond" w:hAnsi="Garamond"/>
          <w:b/>
        </w:rPr>
        <w:t>Chart 4: Movement of 10 year Government Bond Yields in BRIC Nations</w:t>
      </w:r>
    </w:p>
    <w:p w:rsidR="002240ED" w:rsidRPr="00B13940" w:rsidRDefault="002240ED" w:rsidP="002240ED">
      <w:pPr>
        <w:jc w:val="both"/>
        <w:outlineLvl w:val="0"/>
        <w:rPr>
          <w:rFonts w:ascii="Garamond" w:hAnsi="Garamond"/>
          <w:b/>
        </w:rPr>
      </w:pPr>
      <w:r w:rsidRPr="00B13940">
        <w:rPr>
          <w:noProof/>
          <w:lang w:val="en-US" w:bidi="hi-IN"/>
        </w:rPr>
        <w:drawing>
          <wp:inline distT="0" distB="0" distL="0" distR="0" wp14:anchorId="057A8217" wp14:editId="47DD58B6">
            <wp:extent cx="5934075" cy="3749040"/>
            <wp:effectExtent l="0" t="0" r="9525"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240ED" w:rsidRPr="00B13940" w:rsidRDefault="002240ED" w:rsidP="002240ED">
      <w:pPr>
        <w:jc w:val="both"/>
        <w:outlineLvl w:val="0"/>
        <w:rPr>
          <w:rFonts w:ascii="Garamond" w:hAnsi="Garamond"/>
          <w:sz w:val="20"/>
        </w:rPr>
      </w:pPr>
      <w:r w:rsidRPr="00B13940">
        <w:rPr>
          <w:rFonts w:ascii="Garamond" w:hAnsi="Garamond"/>
          <w:b/>
          <w:sz w:val="20"/>
        </w:rPr>
        <w:t xml:space="preserve">Source: </w:t>
      </w:r>
      <w:r w:rsidRPr="00B13940">
        <w:rPr>
          <w:rFonts w:ascii="Garamond" w:hAnsi="Garamond"/>
          <w:sz w:val="20"/>
        </w:rPr>
        <w:t>Bloomberg</w:t>
      </w:r>
    </w:p>
    <w:p w:rsidR="002240ED" w:rsidRPr="00842D76" w:rsidRDefault="002240ED" w:rsidP="002240ED">
      <w:pPr>
        <w:jc w:val="both"/>
        <w:rPr>
          <w:rFonts w:ascii="Garamond" w:hAnsi="Garamond"/>
          <w:color w:val="0070C0"/>
        </w:rPr>
      </w:pPr>
    </w:p>
    <w:p w:rsidR="002240ED" w:rsidRPr="00A03A7D" w:rsidRDefault="002240ED" w:rsidP="00A03A7D">
      <w:pPr>
        <w:pStyle w:val="ListParagraph"/>
        <w:numPr>
          <w:ilvl w:val="0"/>
          <w:numId w:val="34"/>
        </w:numPr>
        <w:jc w:val="both"/>
        <w:rPr>
          <w:rFonts w:ascii="Garamond" w:hAnsi="Garamond"/>
        </w:rPr>
      </w:pPr>
      <w:r w:rsidRPr="00A03A7D">
        <w:rPr>
          <w:rFonts w:ascii="Garamond" w:hAnsi="Garamond"/>
        </w:rPr>
        <w:t>As of July 2019, Japan and China accounted for 17.1 per cent and 16.8 per cent of total foreign holding of US Treasury Securities. India accounted for 2.4 per cent of total foreign holding of US Treasury Securities (Table A10).</w:t>
      </w:r>
    </w:p>
    <w:p w:rsidR="002240ED" w:rsidRPr="005B4F93" w:rsidRDefault="002240ED" w:rsidP="002240ED">
      <w:pPr>
        <w:jc w:val="both"/>
        <w:rPr>
          <w:rFonts w:ascii="Garamond" w:hAnsi="Garamond"/>
        </w:rPr>
      </w:pPr>
    </w:p>
    <w:p w:rsidR="002240ED" w:rsidRPr="005B4F93" w:rsidRDefault="002240ED" w:rsidP="002240ED">
      <w:pPr>
        <w:outlineLvl w:val="0"/>
        <w:rPr>
          <w:rFonts w:ascii="Garamond" w:hAnsi="Garamond"/>
          <w:b/>
        </w:rPr>
      </w:pPr>
      <w:r w:rsidRPr="005B4F93">
        <w:rPr>
          <w:rFonts w:ascii="Garamond" w:hAnsi="Garamond"/>
          <w:b/>
        </w:rPr>
        <w:t>Table A10: Major Foreign Holders of US Treasury Securities (US$ billion)</w:t>
      </w:r>
    </w:p>
    <w:tbl>
      <w:tblPr>
        <w:tblW w:w="9893" w:type="dxa"/>
        <w:tblLayout w:type="fixed"/>
        <w:tblLook w:val="04A0" w:firstRow="1" w:lastRow="0" w:firstColumn="1" w:lastColumn="0" w:noHBand="0" w:noVBand="1"/>
      </w:tblPr>
      <w:tblGrid>
        <w:gridCol w:w="2880"/>
        <w:gridCol w:w="985"/>
        <w:gridCol w:w="1004"/>
        <w:gridCol w:w="1005"/>
        <w:gridCol w:w="1005"/>
        <w:gridCol w:w="1004"/>
        <w:gridCol w:w="1005"/>
        <w:gridCol w:w="1005"/>
      </w:tblGrid>
      <w:tr w:rsidR="002240ED" w:rsidRPr="005B4F93" w:rsidTr="002240ED">
        <w:trPr>
          <w:trHeight w:val="24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0ED" w:rsidRPr="005B4F93" w:rsidRDefault="002240ED" w:rsidP="002240ED">
            <w:pPr>
              <w:rPr>
                <w:rFonts w:ascii="Garamond" w:eastAsia="Times New Roman" w:hAnsi="Garamond" w:cs="Calibri"/>
                <w:sz w:val="20"/>
                <w:szCs w:val="20"/>
                <w:lang w:val="en-US" w:bidi="hi-IN"/>
              </w:rPr>
            </w:pPr>
            <w:r w:rsidRPr="005B4F93">
              <w:rPr>
                <w:rFonts w:ascii="Garamond" w:eastAsia="Times New Roman" w:hAnsi="Garamond" w:cs="Calibri"/>
                <w:sz w:val="20"/>
                <w:szCs w:val="20"/>
                <w:lang w:val="en-US" w:bidi="hi-IN"/>
              </w:rPr>
              <w:t> </w:t>
            </w:r>
          </w:p>
        </w:tc>
        <w:tc>
          <w:tcPr>
            <w:tcW w:w="985" w:type="dxa"/>
            <w:tcBorders>
              <w:top w:val="single" w:sz="4" w:space="0" w:color="auto"/>
              <w:left w:val="nil"/>
              <w:bottom w:val="single" w:sz="4" w:space="0" w:color="auto"/>
              <w:right w:val="nil"/>
            </w:tcBorders>
          </w:tcPr>
          <w:p w:rsidR="002240ED" w:rsidRPr="005B4F93" w:rsidRDefault="002240ED" w:rsidP="002240ED">
            <w:pPr>
              <w:jc w:val="center"/>
              <w:rPr>
                <w:rFonts w:ascii="Garamond" w:eastAsia="Times New Roman" w:hAnsi="Garamond" w:cs="Calibri"/>
                <w:b/>
                <w:bCs/>
                <w:sz w:val="20"/>
                <w:szCs w:val="20"/>
                <w:lang w:val="en-US" w:bidi="hi-IN"/>
              </w:rPr>
            </w:pPr>
          </w:p>
        </w:tc>
        <w:tc>
          <w:tcPr>
            <w:tcW w:w="6028" w:type="dxa"/>
            <w:gridSpan w:val="6"/>
            <w:tcBorders>
              <w:top w:val="single" w:sz="4" w:space="0" w:color="auto"/>
              <w:left w:val="nil"/>
              <w:bottom w:val="single" w:sz="4" w:space="0" w:color="auto"/>
              <w:right w:val="single" w:sz="4" w:space="0" w:color="auto"/>
            </w:tcBorders>
            <w:shd w:val="clear" w:color="auto" w:fill="auto"/>
            <w:noWrap/>
            <w:vAlign w:val="bottom"/>
            <w:hideMark/>
          </w:tcPr>
          <w:p w:rsidR="002240ED" w:rsidRPr="005B4F93" w:rsidRDefault="002240ED" w:rsidP="002240ED">
            <w:pPr>
              <w:jc w:val="center"/>
              <w:rPr>
                <w:rFonts w:ascii="Garamond" w:eastAsia="Times New Roman" w:hAnsi="Garamond" w:cs="Calibri"/>
                <w:b/>
                <w:bCs/>
                <w:sz w:val="20"/>
                <w:szCs w:val="20"/>
                <w:lang w:val="en-US" w:bidi="hi-IN"/>
              </w:rPr>
            </w:pPr>
            <w:r w:rsidRPr="005B4F93">
              <w:rPr>
                <w:rFonts w:ascii="Garamond" w:eastAsia="Times New Roman" w:hAnsi="Garamond" w:cs="Calibri"/>
                <w:b/>
                <w:bCs/>
                <w:sz w:val="20"/>
                <w:szCs w:val="20"/>
                <w:lang w:val="en-US" w:bidi="hi-IN"/>
              </w:rPr>
              <w:t>2019</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5B4F93" w:rsidRDefault="002240ED" w:rsidP="002240ED">
            <w:pPr>
              <w:jc w:val="center"/>
              <w:rPr>
                <w:rFonts w:ascii="Garamond" w:eastAsia="Times New Roman" w:hAnsi="Garamond" w:cs="Calibri"/>
                <w:b/>
                <w:bCs/>
                <w:sz w:val="20"/>
                <w:szCs w:val="20"/>
                <w:lang w:val="en-US" w:bidi="hi-IN"/>
              </w:rPr>
            </w:pPr>
            <w:r w:rsidRPr="005B4F93">
              <w:rPr>
                <w:rFonts w:ascii="Garamond" w:eastAsia="Times New Roman" w:hAnsi="Garamond" w:cs="Calibri"/>
                <w:b/>
                <w:bCs/>
                <w:sz w:val="20"/>
                <w:szCs w:val="20"/>
                <w:lang w:val="en-US" w:bidi="hi-IN"/>
              </w:rPr>
              <w:t>Country/Month</w:t>
            </w:r>
          </w:p>
        </w:tc>
        <w:tc>
          <w:tcPr>
            <w:tcW w:w="985" w:type="dxa"/>
            <w:tcBorders>
              <w:top w:val="single" w:sz="4" w:space="0" w:color="auto"/>
              <w:left w:val="nil"/>
              <w:bottom w:val="single" w:sz="4" w:space="0" w:color="auto"/>
              <w:right w:val="single" w:sz="4" w:space="0" w:color="auto"/>
            </w:tcBorders>
          </w:tcPr>
          <w:p w:rsidR="002240ED" w:rsidRPr="005B4F93" w:rsidRDefault="002240ED" w:rsidP="002240ED">
            <w:pPr>
              <w:jc w:val="center"/>
              <w:rPr>
                <w:rFonts w:ascii="Garamond" w:eastAsia="Times New Roman" w:hAnsi="Garamond" w:cs="Calibri"/>
                <w:b/>
                <w:bCs/>
                <w:sz w:val="20"/>
                <w:szCs w:val="20"/>
                <w:lang w:val="en-US" w:bidi="hi-IN"/>
              </w:rPr>
            </w:pPr>
            <w:r w:rsidRPr="005B4F93">
              <w:rPr>
                <w:rFonts w:ascii="Garamond" w:eastAsia="Times New Roman" w:hAnsi="Garamond" w:cs="Calibri"/>
                <w:b/>
                <w:bCs/>
                <w:sz w:val="20"/>
                <w:szCs w:val="20"/>
                <w:lang w:val="en-US" w:bidi="hi-IN"/>
              </w:rPr>
              <w:t>Jul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2240ED" w:rsidRPr="005B4F93" w:rsidRDefault="002240ED" w:rsidP="002240ED">
            <w:pPr>
              <w:jc w:val="center"/>
              <w:rPr>
                <w:rFonts w:ascii="Garamond" w:eastAsia="Times New Roman" w:hAnsi="Garamond" w:cs="Calibri"/>
                <w:b/>
                <w:bCs/>
                <w:sz w:val="20"/>
                <w:szCs w:val="20"/>
                <w:lang w:val="en-US" w:bidi="hi-IN"/>
              </w:rPr>
            </w:pPr>
            <w:r w:rsidRPr="005B4F93">
              <w:rPr>
                <w:rFonts w:ascii="Garamond" w:eastAsia="Times New Roman" w:hAnsi="Garamond" w:cs="Calibri"/>
                <w:b/>
                <w:bCs/>
                <w:sz w:val="20"/>
                <w:szCs w:val="20"/>
                <w:lang w:val="en-US" w:bidi="hi-IN"/>
              </w:rPr>
              <w:t>Jun</w:t>
            </w:r>
          </w:p>
        </w:tc>
        <w:tc>
          <w:tcPr>
            <w:tcW w:w="1005" w:type="dxa"/>
            <w:tcBorders>
              <w:top w:val="nil"/>
              <w:left w:val="nil"/>
              <w:bottom w:val="single" w:sz="4" w:space="0" w:color="auto"/>
              <w:right w:val="single" w:sz="4" w:space="0" w:color="auto"/>
            </w:tcBorders>
            <w:shd w:val="clear" w:color="auto" w:fill="auto"/>
            <w:noWrap/>
            <w:vAlign w:val="bottom"/>
            <w:hideMark/>
          </w:tcPr>
          <w:p w:rsidR="002240ED" w:rsidRPr="005B4F93" w:rsidRDefault="002240ED" w:rsidP="002240ED">
            <w:pPr>
              <w:jc w:val="center"/>
              <w:rPr>
                <w:rFonts w:ascii="Garamond" w:eastAsia="Times New Roman" w:hAnsi="Garamond" w:cs="Calibri"/>
                <w:b/>
                <w:bCs/>
                <w:sz w:val="20"/>
                <w:szCs w:val="20"/>
                <w:lang w:val="en-US" w:bidi="hi-IN"/>
              </w:rPr>
            </w:pPr>
            <w:r w:rsidRPr="005B4F93">
              <w:rPr>
                <w:rFonts w:ascii="Garamond" w:eastAsia="Times New Roman" w:hAnsi="Garamond" w:cs="Calibri"/>
                <w:b/>
                <w:bCs/>
                <w:sz w:val="20"/>
                <w:szCs w:val="20"/>
                <w:lang w:val="en-US" w:bidi="hi-IN"/>
              </w:rPr>
              <w:t>May</w:t>
            </w:r>
          </w:p>
        </w:tc>
        <w:tc>
          <w:tcPr>
            <w:tcW w:w="1005" w:type="dxa"/>
            <w:tcBorders>
              <w:top w:val="nil"/>
              <w:left w:val="nil"/>
              <w:bottom w:val="single" w:sz="4" w:space="0" w:color="auto"/>
              <w:right w:val="single" w:sz="4" w:space="0" w:color="auto"/>
            </w:tcBorders>
            <w:shd w:val="clear" w:color="auto" w:fill="auto"/>
            <w:noWrap/>
            <w:vAlign w:val="bottom"/>
            <w:hideMark/>
          </w:tcPr>
          <w:p w:rsidR="002240ED" w:rsidRPr="005B4F93" w:rsidRDefault="002240ED" w:rsidP="002240ED">
            <w:pPr>
              <w:jc w:val="center"/>
              <w:rPr>
                <w:rFonts w:ascii="Garamond" w:eastAsia="Times New Roman" w:hAnsi="Garamond" w:cs="Calibri"/>
                <w:b/>
                <w:bCs/>
                <w:sz w:val="20"/>
                <w:szCs w:val="20"/>
                <w:lang w:val="en-US" w:bidi="hi-IN"/>
              </w:rPr>
            </w:pPr>
            <w:r w:rsidRPr="005B4F93">
              <w:rPr>
                <w:rFonts w:ascii="Garamond" w:eastAsia="Times New Roman" w:hAnsi="Garamond" w:cs="Calibri"/>
                <w:b/>
                <w:bCs/>
                <w:sz w:val="20"/>
                <w:szCs w:val="20"/>
                <w:lang w:val="en-US" w:bidi="hi-IN"/>
              </w:rPr>
              <w:t>Apr</w:t>
            </w:r>
          </w:p>
        </w:tc>
        <w:tc>
          <w:tcPr>
            <w:tcW w:w="1004" w:type="dxa"/>
            <w:tcBorders>
              <w:top w:val="nil"/>
              <w:left w:val="nil"/>
              <w:bottom w:val="single" w:sz="4" w:space="0" w:color="auto"/>
              <w:right w:val="single" w:sz="4" w:space="0" w:color="auto"/>
            </w:tcBorders>
            <w:shd w:val="clear" w:color="auto" w:fill="auto"/>
            <w:noWrap/>
            <w:vAlign w:val="bottom"/>
            <w:hideMark/>
          </w:tcPr>
          <w:p w:rsidR="002240ED" w:rsidRPr="005B4F93" w:rsidRDefault="002240ED" w:rsidP="002240ED">
            <w:pPr>
              <w:jc w:val="center"/>
              <w:rPr>
                <w:rFonts w:ascii="Garamond" w:eastAsia="Times New Roman" w:hAnsi="Garamond" w:cs="Calibri"/>
                <w:b/>
                <w:bCs/>
                <w:sz w:val="20"/>
                <w:szCs w:val="20"/>
                <w:lang w:val="en-US" w:bidi="hi-IN"/>
              </w:rPr>
            </w:pPr>
            <w:r w:rsidRPr="005B4F93">
              <w:rPr>
                <w:rFonts w:ascii="Garamond" w:eastAsia="Times New Roman" w:hAnsi="Garamond" w:cs="Calibri"/>
                <w:b/>
                <w:bCs/>
                <w:sz w:val="20"/>
                <w:szCs w:val="20"/>
                <w:lang w:val="en-US" w:bidi="hi-IN"/>
              </w:rPr>
              <w:t>Mar</w:t>
            </w:r>
          </w:p>
        </w:tc>
        <w:tc>
          <w:tcPr>
            <w:tcW w:w="1005" w:type="dxa"/>
            <w:tcBorders>
              <w:top w:val="nil"/>
              <w:left w:val="nil"/>
              <w:bottom w:val="single" w:sz="4" w:space="0" w:color="auto"/>
              <w:right w:val="single" w:sz="4" w:space="0" w:color="auto"/>
            </w:tcBorders>
            <w:shd w:val="clear" w:color="auto" w:fill="auto"/>
            <w:noWrap/>
            <w:vAlign w:val="bottom"/>
            <w:hideMark/>
          </w:tcPr>
          <w:p w:rsidR="002240ED" w:rsidRPr="005B4F93" w:rsidRDefault="002240ED" w:rsidP="002240ED">
            <w:pPr>
              <w:jc w:val="center"/>
              <w:rPr>
                <w:rFonts w:ascii="Garamond" w:eastAsia="Times New Roman" w:hAnsi="Garamond" w:cs="Calibri"/>
                <w:b/>
                <w:bCs/>
                <w:sz w:val="20"/>
                <w:szCs w:val="20"/>
                <w:lang w:val="en-US" w:bidi="hi-IN"/>
              </w:rPr>
            </w:pPr>
            <w:r w:rsidRPr="005B4F93">
              <w:rPr>
                <w:rFonts w:ascii="Garamond" w:eastAsia="Times New Roman" w:hAnsi="Garamond" w:cs="Calibri"/>
                <w:b/>
                <w:bCs/>
                <w:sz w:val="20"/>
                <w:szCs w:val="20"/>
                <w:lang w:val="en-US" w:bidi="hi-IN"/>
              </w:rPr>
              <w:t>Feb</w:t>
            </w:r>
          </w:p>
        </w:tc>
        <w:tc>
          <w:tcPr>
            <w:tcW w:w="1005" w:type="dxa"/>
            <w:tcBorders>
              <w:top w:val="nil"/>
              <w:left w:val="nil"/>
              <w:bottom w:val="single" w:sz="4" w:space="0" w:color="auto"/>
              <w:right w:val="single" w:sz="4" w:space="0" w:color="auto"/>
            </w:tcBorders>
            <w:shd w:val="clear" w:color="auto" w:fill="auto"/>
            <w:noWrap/>
            <w:vAlign w:val="bottom"/>
            <w:hideMark/>
          </w:tcPr>
          <w:p w:rsidR="002240ED" w:rsidRPr="005B4F93" w:rsidRDefault="002240ED" w:rsidP="002240ED">
            <w:pPr>
              <w:jc w:val="center"/>
              <w:rPr>
                <w:rFonts w:ascii="Garamond" w:eastAsia="Times New Roman" w:hAnsi="Garamond" w:cs="Calibri"/>
                <w:b/>
                <w:bCs/>
                <w:sz w:val="20"/>
                <w:szCs w:val="20"/>
                <w:lang w:val="en-US" w:bidi="hi-IN"/>
              </w:rPr>
            </w:pPr>
            <w:r w:rsidRPr="005B4F93">
              <w:rPr>
                <w:rFonts w:ascii="Garamond" w:eastAsia="Times New Roman" w:hAnsi="Garamond" w:cs="Calibri"/>
                <w:b/>
                <w:bCs/>
                <w:sz w:val="20"/>
                <w:szCs w:val="20"/>
                <w:lang w:val="en-US" w:bidi="hi-IN"/>
              </w:rPr>
              <w:t>Jan</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Japan</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1130.8</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1122.9</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1101</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1064</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1078.1</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1068.8</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1064.9</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China, Mainland</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1110.3</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1112.5</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1110.2</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1113</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1120.5</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1130.9</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1126.7</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 xml:space="preserve">United Kingdom                   </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334.7</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341.1</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323.1</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300.8</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317.1</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302.5</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290.1</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Brazil</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309.9</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311.7</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305.7</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306.7</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311.7</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307.7</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305.1</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Ireland</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258.2</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262.1</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270.7</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269.7</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277.6</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274</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270.1</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Luxembourg</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229.6</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231</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229.6</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223.7</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230.2</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228.9</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226.7</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Switzerland</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228.5</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232.9</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231.4</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226.9</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226.4</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221.4</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227</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Cayman Islands</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218.4</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226.6</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216.1</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217.2</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219.5</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210.1</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209.2</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Hong Kong</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210.4</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215.6</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204</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205.9</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207.6</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202.4</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200.9</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Belgium</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206.1</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203.6</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190.5</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179.8</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186.6</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181.3</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191.5</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Saudi Arabia</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180.8</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179.6</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179</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176.6</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170</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167.6</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163.3</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Taiwan</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178.7</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175.1</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172</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171.1</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168.8</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164.9</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168.3</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001FA6" w:rsidRDefault="002240ED" w:rsidP="00A03A7D">
            <w:pPr>
              <w:rPr>
                <w:rFonts w:ascii="Garamond" w:eastAsia="Times New Roman" w:hAnsi="Garamond" w:cs="Calibri"/>
                <w:b/>
                <w:bCs/>
                <w:sz w:val="20"/>
                <w:szCs w:val="20"/>
                <w:lang w:val="en-US" w:bidi="hi-IN"/>
              </w:rPr>
            </w:pPr>
            <w:r w:rsidRPr="00001FA6">
              <w:rPr>
                <w:rFonts w:ascii="Garamond" w:eastAsia="Times New Roman" w:hAnsi="Garamond" w:cs="Calibri" w:hint="eastAsia"/>
                <w:b/>
                <w:bCs/>
                <w:sz w:val="20"/>
                <w:szCs w:val="20"/>
                <w:lang w:val="en-US" w:bidi="hi-IN"/>
              </w:rPr>
              <w:t>India</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159.9</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162.7</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156.9</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155.3</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152</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144.3</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144.9</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Singapore</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137.9</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139.6</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150.4</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139.3</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138.8</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130.5</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127.8</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France</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136.2</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131.6</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125.1</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124.7</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109.6</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115.9</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112.5</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Korea</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117</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115.2</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117.3</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115.1</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119.9</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115.5</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117.3</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Canada</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108.7</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111.6</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100.5</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102.1</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99.7</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97.6</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99.3</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Norway</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96.9</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99.3</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99.3</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97.1</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99.5</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97.1</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90.9</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Thailand</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89.5</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83.8</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81.4</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82.2</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84.4</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90.9</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83.7</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Germany</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85.9</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79.2</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77.8</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72.8</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78.1</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76.2</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73.6</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Bermuda</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68.6</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73.9</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69.1</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66.4</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68.1</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66.9</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66.4</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Mexico</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51.2</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49</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49.9</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47.6</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44.7</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40.5</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41.2</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United Arab Emirates</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49.3</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51.5</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53.2</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55.7</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55.6</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54.5</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55.9</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Netherlands</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49.2</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47.9</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44.4</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45</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44.5</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42.9</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43</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Sweden</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47.7</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49.4</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48.5</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46.5</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47.9</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48.2</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43.4</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Italy</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45.6</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45.4</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42.5</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43.7</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44</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42.1</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41.1</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Kuwait</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44</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44.4</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41.4</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40.2</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40.2</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42.2</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40.7</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Spain</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42.9</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42.6</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42</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41</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40.9</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37.7</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36.6</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Australia</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42.3</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39.2</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39.7</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39.1</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39.3</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39.5</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41.4</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Israel</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40.1</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39.5</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36.1</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36.2</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34.8</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35.4</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30</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Iraq</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34.9</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34.7</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34.4</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35.4</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36.2</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34.7</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34</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Philippines</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33.9</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32.2</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30.7</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27.3</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25.1</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21.2</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21.1</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Colombia</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30.7</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31.1</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29.6</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29.7</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31.5</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27.2</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26.8</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Chile</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30.6</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29.2</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29.8</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29</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28.6</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30</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29.4</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All Other</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491.1</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488.5</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505.7</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506.6</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495.8</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483</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480.1</w:t>
            </w:r>
          </w:p>
        </w:tc>
      </w:tr>
      <w:tr w:rsidR="002240ED" w:rsidRPr="00001FA6"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001FA6" w:rsidRDefault="002240ED" w:rsidP="002240ED">
            <w:pPr>
              <w:jc w:val="right"/>
              <w:rPr>
                <w:rFonts w:ascii="Garamond" w:eastAsia="Times New Roman" w:hAnsi="Garamond" w:cs="Calibri"/>
                <w:b/>
                <w:bCs/>
                <w:sz w:val="20"/>
                <w:szCs w:val="20"/>
                <w:lang w:val="en-US" w:bidi="hi-IN"/>
              </w:rPr>
            </w:pPr>
            <w:r w:rsidRPr="00001FA6">
              <w:rPr>
                <w:rFonts w:ascii="Garamond" w:eastAsia="Times New Roman" w:hAnsi="Garamond" w:cs="Calibri" w:hint="eastAsia"/>
                <w:b/>
                <w:bCs/>
                <w:sz w:val="20"/>
                <w:szCs w:val="20"/>
                <w:lang w:val="en-US" w:bidi="hi-IN"/>
              </w:rPr>
              <w:t>Grand Total</w:t>
            </w:r>
          </w:p>
        </w:tc>
        <w:tc>
          <w:tcPr>
            <w:tcW w:w="985" w:type="dxa"/>
            <w:tcBorders>
              <w:top w:val="nil"/>
              <w:left w:val="nil"/>
              <w:bottom w:val="single" w:sz="4" w:space="0" w:color="auto"/>
              <w:right w:val="single" w:sz="4" w:space="0" w:color="auto"/>
            </w:tcBorders>
            <w:vAlign w:val="bottom"/>
          </w:tcPr>
          <w:p w:rsidR="002240ED" w:rsidRPr="00001FA6" w:rsidRDefault="002240ED" w:rsidP="002240ED">
            <w:pPr>
              <w:jc w:val="right"/>
              <w:rPr>
                <w:rFonts w:ascii="Garamond" w:eastAsia="Times New Roman" w:hAnsi="Garamond" w:cs="Calibri"/>
                <w:b/>
                <w:bCs/>
                <w:sz w:val="20"/>
                <w:szCs w:val="20"/>
                <w:lang w:val="en-US" w:bidi="hi-IN"/>
              </w:rPr>
            </w:pPr>
            <w:r w:rsidRPr="00001FA6">
              <w:rPr>
                <w:rFonts w:ascii="Garamond" w:eastAsia="Times New Roman" w:hAnsi="Garamond" w:cs="Calibri"/>
                <w:b/>
                <w:bCs/>
                <w:sz w:val="20"/>
                <w:szCs w:val="20"/>
                <w:lang w:val="en-US" w:bidi="hi-IN"/>
              </w:rPr>
              <w:t>6630.5</w:t>
            </w:r>
          </w:p>
        </w:tc>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2240ED" w:rsidRPr="00001FA6" w:rsidRDefault="002240ED" w:rsidP="002240ED">
            <w:pPr>
              <w:jc w:val="right"/>
              <w:rPr>
                <w:rFonts w:ascii="Garamond" w:eastAsia="Times New Roman" w:hAnsi="Garamond" w:cs="Calibri"/>
                <w:b/>
                <w:bCs/>
                <w:sz w:val="20"/>
                <w:szCs w:val="20"/>
                <w:lang w:val="en-US" w:bidi="hi-IN"/>
              </w:rPr>
            </w:pPr>
            <w:r w:rsidRPr="00001FA6">
              <w:rPr>
                <w:rFonts w:ascii="Garamond" w:eastAsia="Times New Roman" w:hAnsi="Garamond" w:cs="Calibri"/>
                <w:b/>
                <w:bCs/>
                <w:sz w:val="20"/>
                <w:szCs w:val="20"/>
                <w:lang w:val="en-US" w:bidi="hi-IN"/>
              </w:rPr>
              <w:t>6636.3</w:t>
            </w:r>
          </w:p>
        </w:tc>
        <w:tc>
          <w:tcPr>
            <w:tcW w:w="1005" w:type="dxa"/>
            <w:tcBorders>
              <w:top w:val="nil"/>
              <w:left w:val="nil"/>
              <w:bottom w:val="single" w:sz="4" w:space="0" w:color="auto"/>
              <w:right w:val="single" w:sz="4" w:space="0" w:color="auto"/>
            </w:tcBorders>
            <w:shd w:val="clear" w:color="auto" w:fill="auto"/>
            <w:noWrap/>
            <w:vAlign w:val="bottom"/>
            <w:hideMark/>
          </w:tcPr>
          <w:p w:rsidR="002240ED" w:rsidRPr="00001FA6" w:rsidRDefault="002240ED" w:rsidP="002240ED">
            <w:pPr>
              <w:jc w:val="right"/>
              <w:rPr>
                <w:rFonts w:ascii="Garamond" w:eastAsia="Times New Roman" w:hAnsi="Garamond" w:cs="Calibri"/>
                <w:b/>
                <w:bCs/>
                <w:sz w:val="20"/>
                <w:szCs w:val="20"/>
                <w:lang w:val="en-US" w:bidi="hi-IN"/>
              </w:rPr>
            </w:pPr>
            <w:r w:rsidRPr="00001FA6">
              <w:rPr>
                <w:rFonts w:ascii="Garamond" w:eastAsia="Times New Roman" w:hAnsi="Garamond" w:cs="Calibri"/>
                <w:b/>
                <w:bCs/>
                <w:sz w:val="20"/>
                <w:szCs w:val="20"/>
                <w:lang w:val="en-US" w:bidi="hi-IN"/>
              </w:rPr>
              <w:t>6538.9</w:t>
            </w:r>
          </w:p>
        </w:tc>
        <w:tc>
          <w:tcPr>
            <w:tcW w:w="1005" w:type="dxa"/>
            <w:tcBorders>
              <w:top w:val="nil"/>
              <w:left w:val="nil"/>
              <w:bottom w:val="single" w:sz="4" w:space="0" w:color="auto"/>
              <w:right w:val="single" w:sz="4" w:space="0" w:color="auto"/>
            </w:tcBorders>
            <w:shd w:val="clear" w:color="auto" w:fill="auto"/>
            <w:noWrap/>
            <w:vAlign w:val="bottom"/>
            <w:hideMark/>
          </w:tcPr>
          <w:p w:rsidR="002240ED" w:rsidRPr="00001FA6" w:rsidRDefault="002240ED" w:rsidP="002240ED">
            <w:pPr>
              <w:jc w:val="right"/>
              <w:rPr>
                <w:rFonts w:ascii="Garamond" w:eastAsia="Times New Roman" w:hAnsi="Garamond" w:cs="Calibri"/>
                <w:b/>
                <w:bCs/>
                <w:sz w:val="20"/>
                <w:szCs w:val="20"/>
                <w:lang w:val="en-US" w:bidi="hi-IN"/>
              </w:rPr>
            </w:pPr>
            <w:r w:rsidRPr="00001FA6">
              <w:rPr>
                <w:rFonts w:ascii="Garamond" w:eastAsia="Times New Roman" w:hAnsi="Garamond" w:cs="Calibri"/>
                <w:b/>
                <w:bCs/>
                <w:sz w:val="20"/>
                <w:szCs w:val="20"/>
                <w:lang w:val="en-US" w:bidi="hi-IN"/>
              </w:rPr>
              <w:t>6433.5</w:t>
            </w:r>
          </w:p>
        </w:tc>
        <w:tc>
          <w:tcPr>
            <w:tcW w:w="1004" w:type="dxa"/>
            <w:tcBorders>
              <w:top w:val="nil"/>
              <w:left w:val="nil"/>
              <w:bottom w:val="single" w:sz="4" w:space="0" w:color="auto"/>
              <w:right w:val="single" w:sz="4" w:space="0" w:color="auto"/>
            </w:tcBorders>
            <w:shd w:val="clear" w:color="auto" w:fill="auto"/>
            <w:noWrap/>
            <w:vAlign w:val="bottom"/>
            <w:hideMark/>
          </w:tcPr>
          <w:p w:rsidR="002240ED" w:rsidRPr="00001FA6" w:rsidRDefault="002240ED" w:rsidP="002240ED">
            <w:pPr>
              <w:jc w:val="right"/>
              <w:rPr>
                <w:rFonts w:ascii="Garamond" w:eastAsia="Times New Roman" w:hAnsi="Garamond" w:cs="Calibri"/>
                <w:b/>
                <w:bCs/>
                <w:sz w:val="20"/>
                <w:szCs w:val="20"/>
                <w:lang w:val="en-US" w:bidi="hi-IN"/>
              </w:rPr>
            </w:pPr>
            <w:r w:rsidRPr="00001FA6">
              <w:rPr>
                <w:rFonts w:ascii="Garamond" w:eastAsia="Times New Roman" w:hAnsi="Garamond" w:cs="Calibri"/>
                <w:b/>
                <w:bCs/>
                <w:sz w:val="20"/>
                <w:szCs w:val="20"/>
                <w:lang w:val="en-US" w:bidi="hi-IN"/>
              </w:rPr>
              <w:t>6473.3</w:t>
            </w:r>
          </w:p>
        </w:tc>
        <w:tc>
          <w:tcPr>
            <w:tcW w:w="1005" w:type="dxa"/>
            <w:tcBorders>
              <w:top w:val="nil"/>
              <w:left w:val="nil"/>
              <w:bottom w:val="single" w:sz="4" w:space="0" w:color="auto"/>
              <w:right w:val="single" w:sz="4" w:space="0" w:color="auto"/>
            </w:tcBorders>
            <w:shd w:val="clear" w:color="auto" w:fill="auto"/>
            <w:noWrap/>
            <w:vAlign w:val="bottom"/>
            <w:hideMark/>
          </w:tcPr>
          <w:p w:rsidR="002240ED" w:rsidRPr="00001FA6" w:rsidRDefault="002240ED" w:rsidP="002240ED">
            <w:pPr>
              <w:jc w:val="right"/>
              <w:rPr>
                <w:rFonts w:ascii="Garamond" w:eastAsia="Times New Roman" w:hAnsi="Garamond" w:cs="Calibri"/>
                <w:b/>
                <w:bCs/>
                <w:sz w:val="20"/>
                <w:szCs w:val="20"/>
                <w:lang w:val="en-US" w:bidi="hi-IN"/>
              </w:rPr>
            </w:pPr>
            <w:r w:rsidRPr="00001FA6">
              <w:rPr>
                <w:rFonts w:ascii="Garamond" w:eastAsia="Times New Roman" w:hAnsi="Garamond" w:cs="Calibri"/>
                <w:b/>
                <w:bCs/>
                <w:sz w:val="20"/>
                <w:szCs w:val="20"/>
                <w:lang w:val="en-US" w:bidi="hi-IN"/>
              </w:rPr>
              <w:t>6374.8</w:t>
            </w:r>
          </w:p>
        </w:tc>
        <w:tc>
          <w:tcPr>
            <w:tcW w:w="1005" w:type="dxa"/>
            <w:tcBorders>
              <w:top w:val="nil"/>
              <w:left w:val="nil"/>
              <w:bottom w:val="single" w:sz="4" w:space="0" w:color="auto"/>
              <w:right w:val="single" w:sz="4" w:space="0" w:color="auto"/>
            </w:tcBorders>
            <w:shd w:val="clear" w:color="auto" w:fill="auto"/>
            <w:noWrap/>
            <w:vAlign w:val="bottom"/>
            <w:hideMark/>
          </w:tcPr>
          <w:p w:rsidR="002240ED" w:rsidRPr="00001FA6" w:rsidRDefault="002240ED" w:rsidP="002240ED">
            <w:pPr>
              <w:jc w:val="right"/>
              <w:rPr>
                <w:rFonts w:ascii="Garamond" w:eastAsia="Times New Roman" w:hAnsi="Garamond" w:cs="Calibri"/>
                <w:b/>
                <w:bCs/>
                <w:sz w:val="20"/>
                <w:szCs w:val="20"/>
                <w:lang w:val="en-US" w:bidi="hi-IN"/>
              </w:rPr>
            </w:pPr>
            <w:r w:rsidRPr="00001FA6">
              <w:rPr>
                <w:rFonts w:ascii="Garamond" w:eastAsia="Times New Roman" w:hAnsi="Garamond" w:cs="Calibri"/>
                <w:b/>
                <w:bCs/>
                <w:sz w:val="20"/>
                <w:szCs w:val="20"/>
                <w:lang w:val="en-US" w:bidi="hi-IN"/>
              </w:rPr>
              <w:t>6324.7</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p>
        </w:tc>
        <w:tc>
          <w:tcPr>
            <w:tcW w:w="985" w:type="dxa"/>
            <w:tcBorders>
              <w:top w:val="nil"/>
              <w:left w:val="nil"/>
              <w:bottom w:val="single" w:sz="4" w:space="0" w:color="auto"/>
              <w:right w:val="single" w:sz="4" w:space="0" w:color="auto"/>
            </w:tcBorders>
            <w:vAlign w:val="bottom"/>
          </w:tcPr>
          <w:p w:rsidR="002240ED" w:rsidRPr="002E6684" w:rsidRDefault="002240ED" w:rsidP="002240ED">
            <w:pPr>
              <w:rPr>
                <w:rFonts w:ascii="Garamond" w:eastAsia="Times New Roman" w:hAnsi="Garamond" w:cs="Calibri"/>
                <w:sz w:val="20"/>
                <w:szCs w:val="20"/>
                <w:lang w:val="en-US" w:bidi="hi-IN"/>
              </w:rPr>
            </w:pPr>
          </w:p>
        </w:tc>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2240ED" w:rsidRPr="002E6684" w:rsidRDefault="002240ED" w:rsidP="002240ED">
            <w:pPr>
              <w:rPr>
                <w:rFonts w:ascii="Garamond" w:eastAsia="Times New Roman" w:hAnsi="Garamond" w:cs="Calibri"/>
                <w:sz w:val="20"/>
                <w:szCs w:val="20"/>
                <w:lang w:val="en-US" w:bidi="hi-IN"/>
              </w:rPr>
            </w:pPr>
          </w:p>
        </w:tc>
        <w:tc>
          <w:tcPr>
            <w:tcW w:w="1005" w:type="dxa"/>
            <w:tcBorders>
              <w:top w:val="nil"/>
              <w:left w:val="nil"/>
              <w:bottom w:val="single" w:sz="4" w:space="0" w:color="auto"/>
              <w:right w:val="single" w:sz="4" w:space="0" w:color="auto"/>
            </w:tcBorders>
            <w:shd w:val="clear" w:color="auto" w:fill="auto"/>
            <w:noWrap/>
            <w:vAlign w:val="bottom"/>
            <w:hideMark/>
          </w:tcPr>
          <w:p w:rsidR="002240ED" w:rsidRPr="002E6684" w:rsidRDefault="002240ED" w:rsidP="002240ED">
            <w:pPr>
              <w:rPr>
                <w:rFonts w:ascii="Garamond" w:eastAsia="Times New Roman" w:hAnsi="Garamond" w:cs="Calibri"/>
                <w:sz w:val="20"/>
                <w:szCs w:val="20"/>
                <w:lang w:val="en-US" w:bidi="hi-IN"/>
              </w:rPr>
            </w:pPr>
          </w:p>
        </w:tc>
        <w:tc>
          <w:tcPr>
            <w:tcW w:w="1005" w:type="dxa"/>
            <w:tcBorders>
              <w:top w:val="nil"/>
              <w:left w:val="nil"/>
              <w:bottom w:val="single" w:sz="4" w:space="0" w:color="auto"/>
              <w:right w:val="single" w:sz="4" w:space="0" w:color="auto"/>
            </w:tcBorders>
            <w:shd w:val="clear" w:color="auto" w:fill="auto"/>
            <w:noWrap/>
            <w:vAlign w:val="bottom"/>
            <w:hideMark/>
          </w:tcPr>
          <w:p w:rsidR="002240ED" w:rsidRPr="002E6684" w:rsidRDefault="002240ED" w:rsidP="002240ED">
            <w:pPr>
              <w:rPr>
                <w:rFonts w:ascii="Garamond" w:eastAsia="Times New Roman" w:hAnsi="Garamond" w:cs="Calibri"/>
                <w:sz w:val="20"/>
                <w:szCs w:val="20"/>
                <w:lang w:val="en-US" w:bidi="hi-IN"/>
              </w:rPr>
            </w:pPr>
          </w:p>
        </w:tc>
        <w:tc>
          <w:tcPr>
            <w:tcW w:w="1004" w:type="dxa"/>
            <w:tcBorders>
              <w:top w:val="nil"/>
              <w:left w:val="nil"/>
              <w:bottom w:val="single" w:sz="4" w:space="0" w:color="auto"/>
              <w:right w:val="single" w:sz="4" w:space="0" w:color="auto"/>
            </w:tcBorders>
            <w:shd w:val="clear" w:color="auto" w:fill="auto"/>
            <w:noWrap/>
            <w:vAlign w:val="bottom"/>
            <w:hideMark/>
          </w:tcPr>
          <w:p w:rsidR="002240ED" w:rsidRPr="002E6684" w:rsidRDefault="002240ED" w:rsidP="002240ED">
            <w:pPr>
              <w:rPr>
                <w:rFonts w:ascii="Garamond" w:eastAsia="Times New Roman" w:hAnsi="Garamond" w:cs="Calibri"/>
                <w:sz w:val="20"/>
                <w:szCs w:val="20"/>
                <w:lang w:val="en-US" w:bidi="hi-IN"/>
              </w:rPr>
            </w:pPr>
          </w:p>
        </w:tc>
        <w:tc>
          <w:tcPr>
            <w:tcW w:w="1005" w:type="dxa"/>
            <w:tcBorders>
              <w:top w:val="nil"/>
              <w:left w:val="nil"/>
              <w:bottom w:val="single" w:sz="4" w:space="0" w:color="auto"/>
              <w:right w:val="single" w:sz="4" w:space="0" w:color="auto"/>
            </w:tcBorders>
            <w:shd w:val="clear" w:color="auto" w:fill="auto"/>
            <w:noWrap/>
            <w:vAlign w:val="bottom"/>
            <w:hideMark/>
          </w:tcPr>
          <w:p w:rsidR="002240ED" w:rsidRPr="002E6684" w:rsidRDefault="002240ED" w:rsidP="002240ED">
            <w:pPr>
              <w:rPr>
                <w:rFonts w:ascii="Garamond" w:eastAsia="Times New Roman" w:hAnsi="Garamond" w:cs="Calibri"/>
                <w:sz w:val="20"/>
                <w:szCs w:val="20"/>
                <w:lang w:val="en-US" w:bidi="hi-IN"/>
              </w:rPr>
            </w:pPr>
          </w:p>
        </w:tc>
        <w:tc>
          <w:tcPr>
            <w:tcW w:w="1005" w:type="dxa"/>
            <w:tcBorders>
              <w:top w:val="nil"/>
              <w:left w:val="nil"/>
              <w:bottom w:val="single" w:sz="4" w:space="0" w:color="auto"/>
              <w:right w:val="single" w:sz="4" w:space="0" w:color="auto"/>
            </w:tcBorders>
            <w:shd w:val="clear" w:color="auto" w:fill="auto"/>
            <w:noWrap/>
            <w:vAlign w:val="bottom"/>
            <w:hideMark/>
          </w:tcPr>
          <w:p w:rsidR="002240ED" w:rsidRPr="002E6684" w:rsidRDefault="002240ED" w:rsidP="002240ED">
            <w:pPr>
              <w:rPr>
                <w:rFonts w:ascii="Garamond" w:eastAsia="Times New Roman" w:hAnsi="Garamond" w:cs="Calibri"/>
                <w:sz w:val="20"/>
                <w:szCs w:val="20"/>
                <w:lang w:val="en-US" w:bidi="hi-IN"/>
              </w:rPr>
            </w:pP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Of which:</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rPr>
                <w:rFonts w:ascii="Garamond" w:eastAsia="Times New Roman" w:hAnsi="Garamond" w:cs="Calibri"/>
                <w:sz w:val="20"/>
                <w:szCs w:val="20"/>
                <w:lang w:val="en-US" w:bidi="hi-IN"/>
              </w:rPr>
            </w:pPr>
          </w:p>
        </w:tc>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2240ED" w:rsidRPr="002E6684" w:rsidRDefault="002240ED" w:rsidP="002240ED">
            <w:pPr>
              <w:rPr>
                <w:rFonts w:ascii="Garamond" w:eastAsia="Times New Roman" w:hAnsi="Garamond" w:cs="Calibri"/>
                <w:sz w:val="20"/>
                <w:szCs w:val="20"/>
                <w:lang w:val="en-US" w:bidi="hi-IN"/>
              </w:rPr>
            </w:pPr>
          </w:p>
        </w:tc>
        <w:tc>
          <w:tcPr>
            <w:tcW w:w="1005" w:type="dxa"/>
            <w:tcBorders>
              <w:top w:val="nil"/>
              <w:left w:val="nil"/>
              <w:bottom w:val="single" w:sz="4" w:space="0" w:color="auto"/>
              <w:right w:val="single" w:sz="4" w:space="0" w:color="auto"/>
            </w:tcBorders>
            <w:shd w:val="clear" w:color="auto" w:fill="auto"/>
            <w:noWrap/>
            <w:vAlign w:val="bottom"/>
            <w:hideMark/>
          </w:tcPr>
          <w:p w:rsidR="002240ED" w:rsidRPr="002E6684" w:rsidRDefault="002240ED" w:rsidP="002240ED">
            <w:pPr>
              <w:rPr>
                <w:rFonts w:ascii="Garamond" w:eastAsia="Times New Roman" w:hAnsi="Garamond" w:cs="Calibri"/>
                <w:sz w:val="20"/>
                <w:szCs w:val="20"/>
                <w:lang w:val="en-US" w:bidi="hi-IN"/>
              </w:rPr>
            </w:pPr>
          </w:p>
        </w:tc>
        <w:tc>
          <w:tcPr>
            <w:tcW w:w="1005" w:type="dxa"/>
            <w:tcBorders>
              <w:top w:val="nil"/>
              <w:left w:val="nil"/>
              <w:bottom w:val="single" w:sz="4" w:space="0" w:color="auto"/>
              <w:right w:val="single" w:sz="4" w:space="0" w:color="auto"/>
            </w:tcBorders>
            <w:shd w:val="clear" w:color="auto" w:fill="auto"/>
            <w:noWrap/>
            <w:vAlign w:val="bottom"/>
            <w:hideMark/>
          </w:tcPr>
          <w:p w:rsidR="002240ED" w:rsidRPr="002E6684" w:rsidRDefault="002240ED" w:rsidP="002240ED">
            <w:pPr>
              <w:rPr>
                <w:rFonts w:ascii="Garamond" w:eastAsia="Times New Roman" w:hAnsi="Garamond" w:cs="Calibri"/>
                <w:sz w:val="20"/>
                <w:szCs w:val="20"/>
                <w:lang w:val="en-US" w:bidi="hi-IN"/>
              </w:rPr>
            </w:pPr>
          </w:p>
        </w:tc>
        <w:tc>
          <w:tcPr>
            <w:tcW w:w="1004" w:type="dxa"/>
            <w:tcBorders>
              <w:top w:val="nil"/>
              <w:left w:val="nil"/>
              <w:bottom w:val="single" w:sz="4" w:space="0" w:color="auto"/>
              <w:right w:val="single" w:sz="4" w:space="0" w:color="auto"/>
            </w:tcBorders>
            <w:shd w:val="clear" w:color="auto" w:fill="auto"/>
            <w:noWrap/>
            <w:vAlign w:val="bottom"/>
            <w:hideMark/>
          </w:tcPr>
          <w:p w:rsidR="002240ED" w:rsidRPr="002E6684" w:rsidRDefault="002240ED" w:rsidP="002240ED">
            <w:pPr>
              <w:rPr>
                <w:rFonts w:ascii="Garamond" w:eastAsia="Times New Roman" w:hAnsi="Garamond" w:cs="Calibri"/>
                <w:sz w:val="20"/>
                <w:szCs w:val="20"/>
                <w:lang w:val="en-US" w:bidi="hi-IN"/>
              </w:rPr>
            </w:pPr>
          </w:p>
        </w:tc>
        <w:tc>
          <w:tcPr>
            <w:tcW w:w="1005" w:type="dxa"/>
            <w:tcBorders>
              <w:top w:val="nil"/>
              <w:left w:val="nil"/>
              <w:bottom w:val="single" w:sz="4" w:space="0" w:color="auto"/>
              <w:right w:val="single" w:sz="4" w:space="0" w:color="auto"/>
            </w:tcBorders>
            <w:shd w:val="clear" w:color="auto" w:fill="auto"/>
            <w:noWrap/>
            <w:vAlign w:val="bottom"/>
            <w:hideMark/>
          </w:tcPr>
          <w:p w:rsidR="002240ED" w:rsidRPr="002E6684" w:rsidRDefault="002240ED" w:rsidP="002240ED">
            <w:pPr>
              <w:rPr>
                <w:rFonts w:ascii="Garamond" w:eastAsia="Times New Roman" w:hAnsi="Garamond" w:cs="Calibri"/>
                <w:sz w:val="20"/>
                <w:szCs w:val="20"/>
                <w:lang w:val="en-US" w:bidi="hi-IN"/>
              </w:rPr>
            </w:pPr>
          </w:p>
        </w:tc>
        <w:tc>
          <w:tcPr>
            <w:tcW w:w="1005" w:type="dxa"/>
            <w:tcBorders>
              <w:top w:val="nil"/>
              <w:left w:val="nil"/>
              <w:bottom w:val="single" w:sz="4" w:space="0" w:color="auto"/>
              <w:right w:val="single" w:sz="4" w:space="0" w:color="auto"/>
            </w:tcBorders>
            <w:shd w:val="clear" w:color="auto" w:fill="auto"/>
            <w:noWrap/>
            <w:vAlign w:val="bottom"/>
            <w:hideMark/>
          </w:tcPr>
          <w:p w:rsidR="002240ED" w:rsidRPr="002E6684" w:rsidRDefault="002240ED" w:rsidP="002240ED">
            <w:pPr>
              <w:rPr>
                <w:rFonts w:ascii="Garamond" w:eastAsia="Times New Roman" w:hAnsi="Garamond" w:cs="Calibri"/>
                <w:sz w:val="20"/>
                <w:szCs w:val="20"/>
                <w:lang w:val="en-US" w:bidi="hi-IN"/>
              </w:rPr>
            </w:pPr>
          </w:p>
        </w:tc>
      </w:tr>
      <w:tr w:rsidR="002240ED" w:rsidRPr="005B4F93" w:rsidTr="002240ED">
        <w:trPr>
          <w:trHeight w:val="240"/>
        </w:trPr>
        <w:tc>
          <w:tcPr>
            <w:tcW w:w="2880" w:type="dxa"/>
            <w:tcBorders>
              <w:top w:val="nil"/>
              <w:left w:val="single" w:sz="4" w:space="0" w:color="auto"/>
              <w:bottom w:val="nil"/>
              <w:right w:val="single" w:sz="4" w:space="0" w:color="auto"/>
            </w:tcBorders>
            <w:shd w:val="clear" w:color="auto" w:fill="auto"/>
            <w:noWrap/>
            <w:vAlign w:val="center"/>
            <w:hideMark/>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For. Official</w:t>
            </w:r>
          </w:p>
        </w:tc>
        <w:tc>
          <w:tcPr>
            <w:tcW w:w="985" w:type="dxa"/>
            <w:tcBorders>
              <w:top w:val="nil"/>
              <w:left w:val="nil"/>
              <w:bottom w:val="nil"/>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4133.5</w:t>
            </w:r>
          </w:p>
        </w:tc>
        <w:tc>
          <w:tcPr>
            <w:tcW w:w="1004" w:type="dxa"/>
            <w:tcBorders>
              <w:top w:val="nil"/>
              <w:left w:val="single" w:sz="4" w:space="0" w:color="auto"/>
              <w:bottom w:val="nil"/>
              <w:right w:val="single" w:sz="4" w:space="0" w:color="auto"/>
            </w:tcBorders>
            <w:shd w:val="clear" w:color="auto" w:fill="auto"/>
            <w:noWrap/>
            <w:vAlign w:val="bottom"/>
            <w:hideMark/>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4135.9</w:t>
            </w:r>
          </w:p>
        </w:tc>
        <w:tc>
          <w:tcPr>
            <w:tcW w:w="1005" w:type="dxa"/>
            <w:tcBorders>
              <w:top w:val="nil"/>
              <w:left w:val="nil"/>
              <w:bottom w:val="nil"/>
              <w:right w:val="single" w:sz="4" w:space="0" w:color="auto"/>
            </w:tcBorders>
            <w:shd w:val="clear" w:color="auto" w:fill="auto"/>
            <w:noWrap/>
            <w:vAlign w:val="bottom"/>
            <w:hideMark/>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4103.9</w:t>
            </w:r>
          </w:p>
        </w:tc>
        <w:tc>
          <w:tcPr>
            <w:tcW w:w="1005" w:type="dxa"/>
            <w:tcBorders>
              <w:top w:val="nil"/>
              <w:left w:val="nil"/>
              <w:bottom w:val="nil"/>
              <w:right w:val="single" w:sz="4" w:space="0" w:color="auto"/>
            </w:tcBorders>
            <w:shd w:val="clear" w:color="auto" w:fill="auto"/>
            <w:noWrap/>
            <w:vAlign w:val="bottom"/>
            <w:hideMark/>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4062.5</w:t>
            </w:r>
          </w:p>
        </w:tc>
        <w:tc>
          <w:tcPr>
            <w:tcW w:w="1004" w:type="dxa"/>
            <w:tcBorders>
              <w:top w:val="nil"/>
              <w:left w:val="nil"/>
              <w:bottom w:val="nil"/>
              <w:right w:val="single" w:sz="4" w:space="0" w:color="auto"/>
            </w:tcBorders>
            <w:shd w:val="clear" w:color="auto" w:fill="auto"/>
            <w:noWrap/>
            <w:vAlign w:val="bottom"/>
            <w:hideMark/>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4072.7</w:t>
            </w:r>
          </w:p>
        </w:tc>
        <w:tc>
          <w:tcPr>
            <w:tcW w:w="1005" w:type="dxa"/>
            <w:tcBorders>
              <w:top w:val="nil"/>
              <w:left w:val="nil"/>
              <w:bottom w:val="nil"/>
              <w:right w:val="single" w:sz="4" w:space="0" w:color="auto"/>
            </w:tcBorders>
            <w:shd w:val="clear" w:color="auto" w:fill="auto"/>
            <w:noWrap/>
            <w:vAlign w:val="bottom"/>
            <w:hideMark/>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4024.9</w:t>
            </w:r>
          </w:p>
        </w:tc>
        <w:tc>
          <w:tcPr>
            <w:tcW w:w="1005" w:type="dxa"/>
            <w:tcBorders>
              <w:top w:val="nil"/>
              <w:left w:val="nil"/>
              <w:bottom w:val="nil"/>
              <w:right w:val="single" w:sz="4" w:space="0" w:color="auto"/>
            </w:tcBorders>
            <w:shd w:val="clear" w:color="auto" w:fill="auto"/>
            <w:noWrap/>
            <w:vAlign w:val="bottom"/>
            <w:hideMark/>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3980.4</w:t>
            </w:r>
          </w:p>
        </w:tc>
      </w:tr>
      <w:tr w:rsidR="002240ED" w:rsidRPr="005B4F93" w:rsidTr="002240ED">
        <w:trPr>
          <w:trHeight w:val="240"/>
        </w:trPr>
        <w:tc>
          <w:tcPr>
            <w:tcW w:w="2880" w:type="dxa"/>
            <w:tcBorders>
              <w:top w:val="nil"/>
              <w:left w:val="single" w:sz="4" w:space="0" w:color="auto"/>
              <w:right w:val="single" w:sz="4" w:space="0" w:color="auto"/>
            </w:tcBorders>
            <w:shd w:val="clear" w:color="auto" w:fill="auto"/>
            <w:noWrap/>
            <w:vAlign w:val="center"/>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 xml:space="preserve">  Treasury Bills</w:t>
            </w:r>
          </w:p>
        </w:tc>
        <w:tc>
          <w:tcPr>
            <w:tcW w:w="985" w:type="dxa"/>
            <w:tcBorders>
              <w:top w:val="nil"/>
              <w:left w:val="nil"/>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282.2</w:t>
            </w:r>
          </w:p>
        </w:tc>
        <w:tc>
          <w:tcPr>
            <w:tcW w:w="1004" w:type="dxa"/>
            <w:tcBorders>
              <w:top w:val="nil"/>
              <w:left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279.2</w:t>
            </w:r>
          </w:p>
        </w:tc>
        <w:tc>
          <w:tcPr>
            <w:tcW w:w="1005" w:type="dxa"/>
            <w:tcBorders>
              <w:top w:val="nil"/>
              <w:left w:val="nil"/>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292.7</w:t>
            </w:r>
          </w:p>
        </w:tc>
        <w:tc>
          <w:tcPr>
            <w:tcW w:w="1005" w:type="dxa"/>
            <w:tcBorders>
              <w:top w:val="nil"/>
              <w:left w:val="nil"/>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302.3</w:t>
            </w:r>
          </w:p>
        </w:tc>
        <w:tc>
          <w:tcPr>
            <w:tcW w:w="1004" w:type="dxa"/>
            <w:tcBorders>
              <w:top w:val="nil"/>
              <w:left w:val="nil"/>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313.4</w:t>
            </w:r>
          </w:p>
        </w:tc>
        <w:tc>
          <w:tcPr>
            <w:tcW w:w="1005" w:type="dxa"/>
            <w:tcBorders>
              <w:top w:val="nil"/>
              <w:left w:val="nil"/>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315.3</w:t>
            </w:r>
          </w:p>
        </w:tc>
        <w:tc>
          <w:tcPr>
            <w:tcW w:w="1005" w:type="dxa"/>
            <w:tcBorders>
              <w:top w:val="nil"/>
              <w:left w:val="nil"/>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305.1</w:t>
            </w:r>
          </w:p>
        </w:tc>
      </w:tr>
      <w:tr w:rsidR="002240ED" w:rsidRPr="005B4F93" w:rsidTr="002240ED">
        <w:trPr>
          <w:trHeight w:val="240"/>
        </w:trPr>
        <w:tc>
          <w:tcPr>
            <w:tcW w:w="2880" w:type="dxa"/>
            <w:tcBorders>
              <w:top w:val="nil"/>
              <w:left w:val="single" w:sz="4" w:space="0" w:color="auto"/>
              <w:bottom w:val="single" w:sz="4" w:space="0" w:color="auto"/>
              <w:right w:val="single" w:sz="4" w:space="0" w:color="auto"/>
            </w:tcBorders>
            <w:shd w:val="clear" w:color="auto" w:fill="auto"/>
            <w:noWrap/>
            <w:vAlign w:val="center"/>
          </w:tcPr>
          <w:p w:rsidR="002240ED" w:rsidRPr="002E6684" w:rsidRDefault="002240ED" w:rsidP="002240ED">
            <w:pPr>
              <w:rPr>
                <w:rFonts w:ascii="Garamond" w:eastAsia="Times New Roman" w:hAnsi="Garamond" w:cs="Calibri"/>
                <w:sz w:val="20"/>
                <w:szCs w:val="20"/>
                <w:lang w:val="en-US" w:bidi="hi-IN"/>
              </w:rPr>
            </w:pPr>
            <w:r w:rsidRPr="002E6684">
              <w:rPr>
                <w:rFonts w:ascii="Garamond" w:eastAsia="Times New Roman" w:hAnsi="Garamond" w:cs="Calibri" w:hint="eastAsia"/>
                <w:sz w:val="20"/>
                <w:szCs w:val="20"/>
                <w:lang w:val="en-US" w:bidi="hi-IN"/>
              </w:rPr>
              <w:t xml:space="preserve">  T-Bonds &amp; Notes </w:t>
            </w:r>
          </w:p>
        </w:tc>
        <w:tc>
          <w:tcPr>
            <w:tcW w:w="985" w:type="dxa"/>
            <w:tcBorders>
              <w:top w:val="nil"/>
              <w:left w:val="nil"/>
              <w:bottom w:val="single" w:sz="4" w:space="0" w:color="auto"/>
              <w:right w:val="single" w:sz="4" w:space="0" w:color="auto"/>
            </w:tcBorders>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3851.2</w:t>
            </w:r>
          </w:p>
        </w:tc>
        <w:tc>
          <w:tcPr>
            <w:tcW w:w="1004" w:type="dxa"/>
            <w:tcBorders>
              <w:top w:val="nil"/>
              <w:left w:val="single" w:sz="4" w:space="0" w:color="auto"/>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3856.8</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3811.3</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3760.2</w:t>
            </w:r>
          </w:p>
        </w:tc>
        <w:tc>
          <w:tcPr>
            <w:tcW w:w="1004"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3759.4</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3709.6</w:t>
            </w:r>
          </w:p>
        </w:tc>
        <w:tc>
          <w:tcPr>
            <w:tcW w:w="1005" w:type="dxa"/>
            <w:tcBorders>
              <w:top w:val="nil"/>
              <w:left w:val="nil"/>
              <w:bottom w:val="single" w:sz="4" w:space="0" w:color="auto"/>
              <w:right w:val="single" w:sz="4" w:space="0" w:color="auto"/>
            </w:tcBorders>
            <w:shd w:val="clear" w:color="auto" w:fill="auto"/>
            <w:noWrap/>
            <w:vAlign w:val="bottom"/>
          </w:tcPr>
          <w:p w:rsidR="002240ED" w:rsidRPr="002E6684" w:rsidRDefault="002240ED" w:rsidP="002240ED">
            <w:pPr>
              <w:jc w:val="right"/>
              <w:rPr>
                <w:rFonts w:ascii="Garamond" w:eastAsia="Times New Roman" w:hAnsi="Garamond" w:cs="Calibri"/>
                <w:sz w:val="20"/>
                <w:szCs w:val="20"/>
                <w:lang w:val="en-US" w:bidi="hi-IN"/>
              </w:rPr>
            </w:pPr>
            <w:r w:rsidRPr="002E6684">
              <w:rPr>
                <w:rFonts w:ascii="Garamond" w:eastAsia="Times New Roman" w:hAnsi="Garamond" w:cs="Calibri"/>
                <w:sz w:val="20"/>
                <w:szCs w:val="20"/>
                <w:lang w:val="en-US" w:bidi="hi-IN"/>
              </w:rPr>
              <w:t>3675.2</w:t>
            </w:r>
          </w:p>
        </w:tc>
      </w:tr>
    </w:tbl>
    <w:p w:rsidR="002240ED" w:rsidRPr="005B4F93" w:rsidRDefault="002240ED" w:rsidP="002240ED">
      <w:pPr>
        <w:rPr>
          <w:rFonts w:ascii="Garamond" w:hAnsi="Garamond"/>
          <w:b/>
          <w:sz w:val="20"/>
        </w:rPr>
      </w:pPr>
      <w:r w:rsidRPr="005B4F93">
        <w:rPr>
          <w:rFonts w:ascii="Garamond" w:hAnsi="Garamond"/>
          <w:b/>
          <w:sz w:val="20"/>
        </w:rPr>
        <w:t xml:space="preserve">Note: </w:t>
      </w:r>
    </w:p>
    <w:p w:rsidR="002240ED" w:rsidRPr="00F84EB4" w:rsidRDefault="002240ED" w:rsidP="002240ED">
      <w:pPr>
        <w:pStyle w:val="CM14"/>
        <w:numPr>
          <w:ilvl w:val="0"/>
          <w:numId w:val="32"/>
        </w:numPr>
        <w:spacing w:after="0"/>
        <w:ind w:left="360"/>
        <w:jc w:val="both"/>
        <w:rPr>
          <w:rFonts w:ascii="Garamond" w:hAnsi="Garamond"/>
          <w:sz w:val="22"/>
          <w:szCs w:val="22"/>
          <w:lang w:val="en-GB"/>
        </w:rPr>
      </w:pPr>
      <w:r w:rsidRPr="00F84EB4">
        <w:rPr>
          <w:rFonts w:ascii="Garamond" w:hAnsi="Garamond"/>
          <w:sz w:val="22"/>
          <w:szCs w:val="22"/>
          <w:lang w:val="en-GB"/>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w:t>
      </w:r>
    </w:p>
    <w:p w:rsidR="002240ED" w:rsidRPr="00F84EB4" w:rsidRDefault="002240ED" w:rsidP="002240ED">
      <w:pPr>
        <w:pStyle w:val="CM14"/>
        <w:numPr>
          <w:ilvl w:val="0"/>
          <w:numId w:val="32"/>
        </w:numPr>
        <w:spacing w:after="0"/>
        <w:ind w:left="360"/>
        <w:jc w:val="both"/>
        <w:rPr>
          <w:rFonts w:ascii="Garamond" w:hAnsi="Garamond"/>
          <w:sz w:val="22"/>
          <w:szCs w:val="22"/>
          <w:lang w:val="en-GB"/>
        </w:rPr>
      </w:pPr>
      <w:r w:rsidRPr="00F84EB4">
        <w:rPr>
          <w:rFonts w:ascii="Garamond" w:hAnsi="Garamond"/>
          <w:sz w:val="22"/>
          <w:szCs w:val="22"/>
          <w:lang w:val="en-GB"/>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2240ED" w:rsidRPr="002E6684" w:rsidRDefault="002240ED" w:rsidP="002240ED">
      <w:pPr>
        <w:pStyle w:val="CM14"/>
        <w:spacing w:after="0"/>
        <w:jc w:val="both"/>
        <w:rPr>
          <w:rFonts w:ascii="Garamond" w:hAnsi="Garamond"/>
          <w:sz w:val="22"/>
          <w:szCs w:val="22"/>
          <w:lang w:val="en-GB"/>
        </w:rPr>
      </w:pPr>
      <w:r w:rsidRPr="002E6684">
        <w:rPr>
          <w:rFonts w:ascii="Garamond" w:eastAsiaTheme="minorHAnsi" w:hAnsi="Garamond"/>
          <w:b/>
          <w:sz w:val="20"/>
          <w:lang w:val="en-GB"/>
        </w:rPr>
        <w:t>Source:</w:t>
      </w:r>
      <w:r w:rsidRPr="002E6684">
        <w:rPr>
          <w:rFonts w:ascii="Garamond" w:hAnsi="Garamond"/>
          <w:lang w:val="en-GB"/>
        </w:rPr>
        <w:t xml:space="preserve"> </w:t>
      </w:r>
      <w:r w:rsidRPr="002E6684">
        <w:rPr>
          <w:rFonts w:ascii="Garamond" w:hAnsi="Garamond"/>
          <w:sz w:val="22"/>
          <w:szCs w:val="22"/>
          <w:lang w:val="en-GB"/>
        </w:rPr>
        <w:t>Department of the Treasury/Federal Reserve Board / September 17, 2019</w:t>
      </w:r>
    </w:p>
    <w:p w:rsidR="002240ED" w:rsidRDefault="002240ED" w:rsidP="002240ED">
      <w:pPr>
        <w:pStyle w:val="HTMLPreformatted"/>
        <w:rPr>
          <w:color w:val="000000"/>
          <w:lang w:bidi="hi-IN"/>
        </w:rPr>
      </w:pPr>
    </w:p>
    <w:p w:rsidR="0098446E" w:rsidRDefault="0098446E" w:rsidP="002240ED">
      <w:pPr>
        <w:pStyle w:val="HTMLPreformatted"/>
        <w:rPr>
          <w:color w:val="000000"/>
          <w:lang w:bidi="hi-IN"/>
        </w:rPr>
      </w:pPr>
    </w:p>
    <w:p w:rsidR="0098446E" w:rsidRDefault="0098446E" w:rsidP="002240ED">
      <w:pPr>
        <w:pStyle w:val="HTMLPreformatted"/>
        <w:rPr>
          <w:color w:val="000000"/>
          <w:lang w:bidi="hi-IN"/>
        </w:rPr>
      </w:pPr>
    </w:p>
    <w:p w:rsidR="0098446E" w:rsidRPr="00E04C33" w:rsidRDefault="0098446E" w:rsidP="002240ED">
      <w:pPr>
        <w:pStyle w:val="HTMLPreformatted"/>
        <w:rPr>
          <w:color w:val="000000"/>
          <w:lang w:bidi="hi-IN"/>
        </w:rPr>
      </w:pPr>
    </w:p>
    <w:p w:rsidR="002240ED" w:rsidRPr="002240ED" w:rsidRDefault="002240ED" w:rsidP="002240ED">
      <w:pPr>
        <w:outlineLvl w:val="0"/>
        <w:rPr>
          <w:rFonts w:ascii="Palatino Linotype" w:hAnsi="Palatino Linotype"/>
          <w:b/>
          <w:sz w:val="22"/>
          <w:szCs w:val="22"/>
        </w:rPr>
      </w:pPr>
      <w:r w:rsidRPr="002240ED">
        <w:rPr>
          <w:rFonts w:ascii="Palatino Linotype" w:hAnsi="Palatino Linotype"/>
          <w:b/>
          <w:sz w:val="22"/>
          <w:szCs w:val="22"/>
        </w:rPr>
        <w:lastRenderedPageBreak/>
        <w:t>Currency Market:</w:t>
      </w:r>
    </w:p>
    <w:p w:rsidR="002240ED" w:rsidRPr="002240ED" w:rsidRDefault="002240ED" w:rsidP="002240ED">
      <w:pPr>
        <w:jc w:val="both"/>
        <w:rPr>
          <w:rFonts w:ascii="Palatino Linotype" w:hAnsi="Palatino Linotype"/>
          <w:sz w:val="22"/>
          <w:szCs w:val="22"/>
        </w:rPr>
      </w:pPr>
    </w:p>
    <w:p w:rsidR="002240ED" w:rsidRPr="002240ED" w:rsidRDefault="002240ED" w:rsidP="002240ED">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hAnsi="Palatino Linotype"/>
          <w:sz w:val="22"/>
          <w:szCs w:val="22"/>
        </w:rPr>
        <w:t xml:space="preserve">Currency markets across the globe were volatile owing to some international developments. During September 2019, the currencies marginally strengthened against the </w:t>
      </w:r>
      <w:r w:rsidRPr="002240ED">
        <w:rPr>
          <w:rFonts w:ascii="Palatino Linotype" w:eastAsia="Times New Roman" w:hAnsi="Palatino Linotype" w:cs="Arial"/>
          <w:sz w:val="22"/>
          <w:szCs w:val="22"/>
          <w:lang w:eastAsia="en-GB"/>
        </w:rPr>
        <w:t>US dollar compared to August 2019.</w:t>
      </w:r>
    </w:p>
    <w:p w:rsidR="002240ED" w:rsidRPr="002240ED" w:rsidRDefault="002240ED" w:rsidP="002240ED">
      <w:pPr>
        <w:pStyle w:val="ListParagraph"/>
        <w:numPr>
          <w:ilvl w:val="0"/>
          <w:numId w:val="34"/>
        </w:numPr>
        <w:spacing w:after="0" w:line="240" w:lineRule="auto"/>
        <w:jc w:val="both"/>
        <w:rPr>
          <w:rFonts w:ascii="Palatino Linotype" w:hAnsi="Palatino Linotype"/>
          <w:sz w:val="22"/>
          <w:szCs w:val="22"/>
        </w:rPr>
      </w:pPr>
      <w:r w:rsidRPr="002240ED">
        <w:rPr>
          <w:rFonts w:ascii="Palatino Linotype" w:hAnsi="Palatino Linotype"/>
          <w:sz w:val="22"/>
          <w:szCs w:val="22"/>
        </w:rPr>
        <w:t>The dollar index remained in the range of 98.25 and 99.38 August 2019 and recorded the highest close price on September 30, 2019 at 99.38, since January 2019.  This indicates that the dollar index has strengthened against its constituent foreign currencies during the period.  US Dollar Index contains six developed market currencies.</w:t>
      </w:r>
    </w:p>
    <w:p w:rsidR="002240ED" w:rsidRPr="002240ED" w:rsidRDefault="002240ED" w:rsidP="002240ED">
      <w:pPr>
        <w:pStyle w:val="ListParagraph"/>
        <w:numPr>
          <w:ilvl w:val="0"/>
          <w:numId w:val="34"/>
        </w:numPr>
        <w:spacing w:after="0" w:line="240" w:lineRule="auto"/>
        <w:jc w:val="both"/>
        <w:rPr>
          <w:rFonts w:ascii="Palatino Linotype" w:hAnsi="Palatino Linotype"/>
          <w:sz w:val="22"/>
          <w:szCs w:val="22"/>
        </w:rPr>
      </w:pPr>
      <w:r w:rsidRPr="002240ED">
        <w:rPr>
          <w:rFonts w:ascii="Palatino Linotype" w:hAnsi="Palatino Linotype"/>
          <w:sz w:val="22"/>
          <w:szCs w:val="22"/>
        </w:rPr>
        <w:t xml:space="preserve">The strengthening of the global currencies has reflected in the performance of MSCI EM Currency Index.  The currency index gained 0.8 per cent as on September 30, 2019 over the closing as on August 30, 2019.  </w:t>
      </w:r>
    </w:p>
    <w:p w:rsidR="002240ED" w:rsidRPr="002240ED" w:rsidRDefault="002240ED" w:rsidP="002240ED">
      <w:pPr>
        <w:pStyle w:val="ListParagraph"/>
        <w:numPr>
          <w:ilvl w:val="0"/>
          <w:numId w:val="34"/>
        </w:numPr>
        <w:spacing w:after="0" w:line="240" w:lineRule="auto"/>
        <w:jc w:val="both"/>
        <w:rPr>
          <w:rFonts w:ascii="Palatino Linotype" w:hAnsi="Palatino Linotype"/>
          <w:sz w:val="22"/>
          <w:szCs w:val="22"/>
        </w:rPr>
      </w:pPr>
      <w:r w:rsidRPr="002240ED">
        <w:rPr>
          <w:rFonts w:ascii="Palatino Linotype" w:hAnsi="Palatino Linotype"/>
          <w:sz w:val="22"/>
          <w:szCs w:val="22"/>
        </w:rPr>
        <w:t xml:space="preserve">The INR did not fluctuate much during the month under review.  </w:t>
      </w:r>
    </w:p>
    <w:p w:rsidR="002240ED" w:rsidRPr="00842D76" w:rsidRDefault="002240ED" w:rsidP="002240ED">
      <w:pPr>
        <w:jc w:val="both"/>
        <w:rPr>
          <w:rFonts w:ascii="Garamond" w:hAnsi="Garamond"/>
          <w:color w:val="0070C0"/>
        </w:rPr>
      </w:pPr>
    </w:p>
    <w:p w:rsidR="002240ED" w:rsidRPr="00DC3D9B" w:rsidRDefault="002240ED" w:rsidP="002240ED">
      <w:pPr>
        <w:outlineLvl w:val="0"/>
        <w:rPr>
          <w:rFonts w:ascii="Garamond" w:hAnsi="Garamond"/>
          <w:b/>
        </w:rPr>
      </w:pPr>
      <w:r w:rsidRPr="00DC3D9B">
        <w:rPr>
          <w:rFonts w:ascii="Garamond" w:hAnsi="Garamond"/>
          <w:b/>
        </w:rPr>
        <w:t>Chart 5: Movement of the Major Currencies against US$</w:t>
      </w:r>
    </w:p>
    <w:p w:rsidR="002240ED" w:rsidRDefault="002240ED" w:rsidP="002240ED">
      <w:pPr>
        <w:outlineLvl w:val="0"/>
        <w:rPr>
          <w:rFonts w:ascii="Garamond" w:hAnsi="Garamond"/>
          <w:b/>
          <w:color w:val="0070C0"/>
        </w:rPr>
      </w:pPr>
    </w:p>
    <w:p w:rsidR="002240ED" w:rsidRDefault="002240ED" w:rsidP="002240ED">
      <w:pPr>
        <w:outlineLvl w:val="0"/>
        <w:rPr>
          <w:rFonts w:ascii="Garamond" w:hAnsi="Garamond"/>
          <w:b/>
          <w:color w:val="0070C0"/>
        </w:rPr>
      </w:pPr>
      <w:r>
        <w:rPr>
          <w:noProof/>
          <w:lang w:val="en-US" w:bidi="hi-IN"/>
        </w:rPr>
        <w:drawing>
          <wp:inline distT="0" distB="0" distL="0" distR="0" wp14:anchorId="11A12C57" wp14:editId="6F2EC07F">
            <wp:extent cx="5923280" cy="4474723"/>
            <wp:effectExtent l="0" t="0" r="1270" b="25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240ED" w:rsidRPr="00842D76" w:rsidRDefault="002240ED" w:rsidP="002240ED">
      <w:pPr>
        <w:rPr>
          <w:rFonts w:ascii="Garamond" w:hAnsi="Garamond"/>
          <w:b/>
          <w:color w:val="0070C0"/>
        </w:rPr>
      </w:pPr>
    </w:p>
    <w:p w:rsidR="002240ED" w:rsidRPr="008A5CDF" w:rsidRDefault="002240ED" w:rsidP="002240ED">
      <w:pPr>
        <w:jc w:val="both"/>
        <w:rPr>
          <w:rFonts w:ascii="Garamond" w:hAnsi="Garamond" w:cs="Arial"/>
          <w:sz w:val="20"/>
        </w:rPr>
      </w:pPr>
      <w:r w:rsidRPr="008A5CDF">
        <w:rPr>
          <w:rFonts w:ascii="Garamond" w:hAnsi="Garamond"/>
          <w:b/>
          <w:sz w:val="20"/>
        </w:rPr>
        <w:t>Note:</w:t>
      </w:r>
      <w:r w:rsidRPr="008A5CDF">
        <w:rPr>
          <w:rFonts w:ascii="Garamond" w:hAnsi="Garamond"/>
          <w:sz w:val="20"/>
        </w:rPr>
        <w:t xml:space="preserve"> All currencies have been </w:t>
      </w:r>
      <w:r w:rsidRPr="008A5CDF">
        <w:rPr>
          <w:rFonts w:ascii="Garamond" w:hAnsi="Garamond" w:cs="Arial"/>
          <w:sz w:val="20"/>
        </w:rPr>
        <w:t>normalised keeping December 31, 2018 as base.</w:t>
      </w:r>
    </w:p>
    <w:p w:rsidR="002240ED" w:rsidRPr="008A5CDF" w:rsidRDefault="002240ED" w:rsidP="002240ED">
      <w:pPr>
        <w:outlineLvl w:val="0"/>
        <w:rPr>
          <w:rFonts w:ascii="Garamond" w:hAnsi="Garamond"/>
          <w:sz w:val="20"/>
        </w:rPr>
      </w:pPr>
      <w:r w:rsidRPr="008A5CDF">
        <w:rPr>
          <w:rFonts w:ascii="Garamond" w:hAnsi="Garamond"/>
          <w:b/>
          <w:sz w:val="20"/>
        </w:rPr>
        <w:t>Source:</w:t>
      </w:r>
      <w:r w:rsidRPr="008A5CDF">
        <w:rPr>
          <w:rFonts w:ascii="Garamond" w:hAnsi="Garamond"/>
          <w:sz w:val="20"/>
        </w:rPr>
        <w:t xml:space="preserve"> Bloomberg</w:t>
      </w:r>
    </w:p>
    <w:p w:rsidR="002240ED" w:rsidRPr="00842D76" w:rsidRDefault="002240ED" w:rsidP="002240ED">
      <w:pPr>
        <w:rPr>
          <w:rFonts w:ascii="Garamond" w:hAnsi="Garamond"/>
          <w:b/>
          <w:color w:val="0070C0"/>
        </w:rPr>
      </w:pPr>
    </w:p>
    <w:p w:rsidR="002240ED" w:rsidRDefault="002240ED" w:rsidP="002240ED">
      <w:pPr>
        <w:rPr>
          <w:rFonts w:ascii="Garamond" w:hAnsi="Garamond"/>
          <w:b/>
          <w:color w:val="0070C0"/>
        </w:rPr>
      </w:pPr>
    </w:p>
    <w:p w:rsidR="002240ED" w:rsidRDefault="002240ED" w:rsidP="002240ED">
      <w:pPr>
        <w:rPr>
          <w:rFonts w:ascii="Garamond" w:hAnsi="Garamond"/>
          <w:b/>
          <w:color w:val="0070C0"/>
        </w:rPr>
      </w:pPr>
    </w:p>
    <w:p w:rsidR="002240ED" w:rsidRDefault="002240ED" w:rsidP="002240ED">
      <w:pPr>
        <w:rPr>
          <w:rFonts w:ascii="Garamond" w:hAnsi="Garamond"/>
          <w:b/>
          <w:color w:val="0070C0"/>
        </w:rPr>
      </w:pPr>
    </w:p>
    <w:p w:rsidR="002240ED" w:rsidRDefault="002240ED" w:rsidP="002240ED">
      <w:pPr>
        <w:rPr>
          <w:rFonts w:ascii="Garamond" w:hAnsi="Garamond"/>
          <w:b/>
          <w:color w:val="0070C0"/>
        </w:rPr>
      </w:pPr>
    </w:p>
    <w:p w:rsidR="002240ED" w:rsidRDefault="002240ED" w:rsidP="002240ED">
      <w:pPr>
        <w:rPr>
          <w:rFonts w:ascii="Garamond" w:hAnsi="Garamond"/>
          <w:b/>
          <w:color w:val="0070C0"/>
        </w:rPr>
      </w:pPr>
    </w:p>
    <w:p w:rsidR="002240ED" w:rsidRDefault="002240ED" w:rsidP="002240ED">
      <w:pPr>
        <w:rPr>
          <w:rFonts w:ascii="Garamond" w:hAnsi="Garamond"/>
          <w:b/>
          <w:color w:val="0070C0"/>
        </w:rPr>
      </w:pPr>
    </w:p>
    <w:p w:rsidR="002240ED" w:rsidRDefault="002240ED" w:rsidP="002240ED">
      <w:pPr>
        <w:rPr>
          <w:rFonts w:ascii="Garamond" w:hAnsi="Garamond"/>
          <w:b/>
          <w:color w:val="0070C0"/>
        </w:rPr>
      </w:pPr>
    </w:p>
    <w:p w:rsidR="002240ED" w:rsidRPr="00842D76" w:rsidRDefault="002240ED" w:rsidP="002240ED">
      <w:pPr>
        <w:rPr>
          <w:rFonts w:ascii="Garamond" w:hAnsi="Garamond"/>
          <w:b/>
          <w:color w:val="0070C0"/>
        </w:rPr>
      </w:pPr>
    </w:p>
    <w:p w:rsidR="002240ED" w:rsidRPr="008A5CDF" w:rsidRDefault="002240ED" w:rsidP="002240ED">
      <w:pPr>
        <w:outlineLvl w:val="0"/>
        <w:rPr>
          <w:rFonts w:ascii="Garamond" w:hAnsi="Garamond"/>
          <w:b/>
        </w:rPr>
      </w:pPr>
      <w:r w:rsidRPr="008A5CDF">
        <w:rPr>
          <w:rFonts w:ascii="Garamond" w:hAnsi="Garamond"/>
          <w:b/>
        </w:rPr>
        <w:lastRenderedPageBreak/>
        <w:t>Chart 6: Movement of the US Dollar Index and MSCI EM Currency Index</w:t>
      </w:r>
    </w:p>
    <w:p w:rsidR="002240ED" w:rsidRPr="00842D76" w:rsidRDefault="002240ED" w:rsidP="002240ED">
      <w:pPr>
        <w:outlineLvl w:val="0"/>
        <w:rPr>
          <w:rFonts w:ascii="Garamond" w:hAnsi="Garamond"/>
          <w:b/>
          <w:color w:val="0070C0"/>
        </w:rPr>
      </w:pPr>
    </w:p>
    <w:p w:rsidR="002240ED" w:rsidRPr="00842D76" w:rsidRDefault="002240ED" w:rsidP="002240ED">
      <w:pPr>
        <w:outlineLvl w:val="0"/>
        <w:rPr>
          <w:rFonts w:ascii="Garamond" w:hAnsi="Garamond"/>
          <w:b/>
          <w:color w:val="0070C0"/>
        </w:rPr>
      </w:pPr>
      <w:r>
        <w:rPr>
          <w:noProof/>
          <w:lang w:val="en-US" w:bidi="hi-IN"/>
        </w:rPr>
        <w:drawing>
          <wp:inline distT="0" distB="0" distL="0" distR="0" wp14:anchorId="6F9BBF7F" wp14:editId="450E529D">
            <wp:extent cx="5923280" cy="4337050"/>
            <wp:effectExtent l="0" t="0" r="127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240ED" w:rsidRPr="00842D76" w:rsidRDefault="002240ED" w:rsidP="002240ED">
      <w:pPr>
        <w:rPr>
          <w:rFonts w:ascii="Garamond" w:hAnsi="Garamond"/>
          <w:b/>
          <w:color w:val="0070C0"/>
        </w:rPr>
      </w:pPr>
    </w:p>
    <w:p w:rsidR="002240ED" w:rsidRPr="002240ED" w:rsidRDefault="002240ED" w:rsidP="002240ED">
      <w:pPr>
        <w:tabs>
          <w:tab w:val="left" w:pos="3760"/>
        </w:tabs>
        <w:rPr>
          <w:rFonts w:ascii="Palatino Linotype" w:hAnsi="Palatino Linotype"/>
          <w:sz w:val="18"/>
          <w:szCs w:val="18"/>
        </w:rPr>
      </w:pPr>
      <w:r w:rsidRPr="002240ED">
        <w:rPr>
          <w:rFonts w:ascii="Palatino Linotype" w:hAnsi="Palatino Linotype"/>
          <w:b/>
          <w:sz w:val="18"/>
          <w:szCs w:val="18"/>
        </w:rPr>
        <w:t>Note:</w:t>
      </w:r>
    </w:p>
    <w:p w:rsidR="002240ED" w:rsidRPr="002240ED" w:rsidRDefault="002240ED" w:rsidP="002240ED">
      <w:pPr>
        <w:pStyle w:val="CM14"/>
        <w:numPr>
          <w:ilvl w:val="0"/>
          <w:numId w:val="33"/>
        </w:numPr>
        <w:spacing w:after="0"/>
        <w:jc w:val="both"/>
        <w:rPr>
          <w:rFonts w:ascii="Palatino Linotype" w:hAnsi="Palatino Linotype" w:cs="Arial"/>
          <w:sz w:val="18"/>
          <w:szCs w:val="18"/>
          <w:lang w:val="en-GB"/>
        </w:rPr>
      </w:pPr>
      <w:r w:rsidRPr="002240ED">
        <w:rPr>
          <w:rFonts w:ascii="Palatino Linotype" w:hAnsi="Palatino Linotype"/>
          <w:sz w:val="18"/>
          <w:szCs w:val="18"/>
          <w:lang w:val="en-GB"/>
        </w:rPr>
        <w:t xml:space="preserve">All currencies have been </w:t>
      </w:r>
      <w:r w:rsidRPr="002240ED">
        <w:rPr>
          <w:rFonts w:ascii="Palatino Linotype" w:hAnsi="Palatino Linotype" w:cs="Arial"/>
          <w:sz w:val="18"/>
          <w:szCs w:val="18"/>
          <w:lang w:val="en-GB"/>
        </w:rPr>
        <w:t>normalised keeping December 31, 2018 as base.</w:t>
      </w:r>
    </w:p>
    <w:p w:rsidR="002240ED" w:rsidRPr="002240ED" w:rsidRDefault="002240ED" w:rsidP="002240ED">
      <w:pPr>
        <w:pStyle w:val="CM14"/>
        <w:numPr>
          <w:ilvl w:val="0"/>
          <w:numId w:val="33"/>
        </w:numPr>
        <w:spacing w:after="0"/>
        <w:jc w:val="both"/>
        <w:rPr>
          <w:rFonts w:ascii="Palatino Linotype" w:hAnsi="Palatino Linotype" w:cs="Arial"/>
          <w:sz w:val="18"/>
          <w:szCs w:val="18"/>
          <w:lang w:val="en-GB"/>
        </w:rPr>
      </w:pPr>
      <w:r w:rsidRPr="002240ED">
        <w:rPr>
          <w:rFonts w:ascii="Palatino Linotype" w:hAnsi="Palatino Linotype" w:cs="Arial"/>
          <w:sz w:val="18"/>
          <w:szCs w:val="18"/>
          <w:lang w:val="en-GB"/>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2240ED" w:rsidRPr="002240ED" w:rsidRDefault="002240ED" w:rsidP="002240ED">
      <w:pPr>
        <w:pStyle w:val="CM14"/>
        <w:numPr>
          <w:ilvl w:val="0"/>
          <w:numId w:val="33"/>
        </w:numPr>
        <w:spacing w:after="0"/>
        <w:jc w:val="both"/>
        <w:rPr>
          <w:rFonts w:ascii="Palatino Linotype" w:hAnsi="Palatino Linotype" w:cs="Arial"/>
          <w:sz w:val="18"/>
          <w:szCs w:val="18"/>
          <w:lang w:val="en-GB"/>
        </w:rPr>
      </w:pPr>
      <w:r w:rsidRPr="002240ED">
        <w:rPr>
          <w:rFonts w:ascii="Palatino Linotype" w:hAnsi="Palatino Linotype" w:cs="Arial"/>
          <w:sz w:val="18"/>
          <w:szCs w:val="18"/>
          <w:lang w:val="en-GB"/>
        </w:rPr>
        <w:t>The MSCI Emerging Markets (EM) Currency Index tracks the performance of twenty-five emerging-market currencies relative to the US Dollar.</w:t>
      </w:r>
    </w:p>
    <w:p w:rsidR="002240ED" w:rsidRPr="008A5CDF" w:rsidRDefault="002240ED" w:rsidP="002240ED">
      <w:pPr>
        <w:outlineLvl w:val="0"/>
        <w:rPr>
          <w:rFonts w:ascii="Garamond" w:hAnsi="Garamond"/>
          <w:sz w:val="20"/>
        </w:rPr>
      </w:pPr>
      <w:r w:rsidRPr="008A5CDF">
        <w:rPr>
          <w:rFonts w:ascii="Garamond" w:hAnsi="Garamond"/>
          <w:b/>
          <w:sz w:val="20"/>
        </w:rPr>
        <w:t>Source:</w:t>
      </w:r>
      <w:r w:rsidRPr="008A5CDF">
        <w:rPr>
          <w:rFonts w:ascii="Garamond" w:hAnsi="Garamond"/>
          <w:sz w:val="20"/>
        </w:rPr>
        <w:t xml:space="preserve"> Bloomberg</w:t>
      </w:r>
    </w:p>
    <w:p w:rsidR="005456C0" w:rsidRPr="003D4D29" w:rsidRDefault="005456C0" w:rsidP="005456C0">
      <w:pPr>
        <w:jc w:val="both"/>
        <w:rPr>
          <w:rFonts w:ascii="Garamond" w:eastAsia="Times New Roman" w:hAnsi="Garamond" w:cs="Arial Unicode MS"/>
          <w:szCs w:val="30"/>
          <w:cs/>
          <w:lang w:eastAsia="en-GB" w:bidi="bn-IN"/>
        </w:rPr>
      </w:pPr>
    </w:p>
    <w:p w:rsidR="005456C0" w:rsidRDefault="005456C0" w:rsidP="001D68DB">
      <w:pPr>
        <w:jc w:val="center"/>
        <w:rPr>
          <w:rFonts w:ascii="Palatino Linotype" w:hAnsi="Palatino Linotype" w:cstheme="minorHAnsi"/>
          <w:b/>
          <w:sz w:val="40"/>
          <w:szCs w:val="40"/>
        </w:rPr>
      </w:pPr>
    </w:p>
    <w:p w:rsidR="005456C0" w:rsidRDefault="005456C0" w:rsidP="001D68DB">
      <w:pPr>
        <w:jc w:val="center"/>
        <w:rPr>
          <w:rFonts w:ascii="Palatino Linotype" w:hAnsi="Palatino Linotype" w:cstheme="minorHAnsi"/>
          <w:b/>
          <w:sz w:val="40"/>
          <w:szCs w:val="40"/>
        </w:rPr>
      </w:pPr>
    </w:p>
    <w:p w:rsidR="005456C0" w:rsidRDefault="005456C0" w:rsidP="001D68DB">
      <w:pPr>
        <w:jc w:val="center"/>
        <w:rPr>
          <w:rFonts w:ascii="Palatino Linotype" w:hAnsi="Palatino Linotype" w:cstheme="minorHAnsi"/>
          <w:b/>
          <w:sz w:val="40"/>
          <w:szCs w:val="40"/>
        </w:rPr>
      </w:pPr>
    </w:p>
    <w:p w:rsidR="005456C0" w:rsidRDefault="005456C0" w:rsidP="001D68DB">
      <w:pPr>
        <w:jc w:val="center"/>
        <w:rPr>
          <w:rFonts w:ascii="Palatino Linotype" w:hAnsi="Palatino Linotype" w:cstheme="minorHAnsi"/>
          <w:b/>
          <w:sz w:val="40"/>
          <w:szCs w:val="40"/>
        </w:rPr>
      </w:pPr>
    </w:p>
    <w:p w:rsidR="005456C0" w:rsidRDefault="005456C0" w:rsidP="001D68DB">
      <w:pPr>
        <w:jc w:val="center"/>
        <w:rPr>
          <w:rFonts w:ascii="Palatino Linotype" w:hAnsi="Palatino Linotype" w:cstheme="minorHAnsi"/>
          <w:b/>
          <w:sz w:val="40"/>
          <w:szCs w:val="40"/>
        </w:rPr>
      </w:pPr>
    </w:p>
    <w:p w:rsidR="005456C0" w:rsidRDefault="005456C0" w:rsidP="001D68DB">
      <w:pPr>
        <w:jc w:val="center"/>
        <w:rPr>
          <w:rFonts w:ascii="Palatino Linotype" w:hAnsi="Palatino Linotype" w:cstheme="minorHAnsi"/>
          <w:b/>
          <w:sz w:val="40"/>
          <w:szCs w:val="40"/>
        </w:rPr>
      </w:pPr>
    </w:p>
    <w:p w:rsidR="005456C0" w:rsidRDefault="005456C0" w:rsidP="001D68DB">
      <w:pPr>
        <w:jc w:val="center"/>
        <w:rPr>
          <w:rFonts w:ascii="Palatino Linotype" w:hAnsi="Palatino Linotype" w:cstheme="minorHAnsi"/>
          <w:b/>
          <w:sz w:val="40"/>
          <w:szCs w:val="40"/>
        </w:rPr>
      </w:pPr>
    </w:p>
    <w:p w:rsidR="001D68DB" w:rsidRPr="001D68DB" w:rsidRDefault="001D68DB" w:rsidP="001D68DB">
      <w:pPr>
        <w:jc w:val="center"/>
        <w:rPr>
          <w:rFonts w:ascii="Palatino Linotype" w:hAnsi="Palatino Linotype" w:cstheme="minorHAnsi"/>
          <w:b/>
          <w:sz w:val="40"/>
          <w:szCs w:val="40"/>
        </w:rPr>
      </w:pPr>
      <w:r w:rsidRPr="001D68DB">
        <w:rPr>
          <w:rFonts w:ascii="Palatino Linotype" w:hAnsi="Palatino Linotype" w:cstheme="minorHAnsi"/>
          <w:b/>
          <w:sz w:val="40"/>
          <w:szCs w:val="40"/>
        </w:rPr>
        <w:lastRenderedPageBreak/>
        <w:t>HIGHLIGHTS OF DEVELOPMENTS IN INTERNATIONAL SECURITIES MARKET</w:t>
      </w:r>
    </w:p>
    <w:p w:rsidR="00C55787" w:rsidRDefault="00C55787" w:rsidP="009271A2">
      <w:pPr>
        <w:tabs>
          <w:tab w:val="left" w:pos="8160"/>
        </w:tabs>
        <w:jc w:val="both"/>
        <w:rPr>
          <w:rFonts w:ascii="Palatino Linotype" w:hAnsi="Palatino Linotype"/>
          <w:b/>
          <w:sz w:val="22"/>
          <w:szCs w:val="22"/>
        </w:rPr>
      </w:pPr>
    </w:p>
    <w:p w:rsidR="001D68DB" w:rsidRDefault="001D68DB" w:rsidP="009271A2">
      <w:pPr>
        <w:tabs>
          <w:tab w:val="left" w:pos="8160"/>
        </w:tabs>
        <w:jc w:val="both"/>
        <w:rPr>
          <w:rFonts w:ascii="Palatino Linotype" w:hAnsi="Palatino Linotype"/>
          <w:b/>
          <w:sz w:val="22"/>
          <w:szCs w:val="22"/>
        </w:rPr>
      </w:pPr>
    </w:p>
    <w:p w:rsidR="001D68DB" w:rsidRPr="00594C6C" w:rsidRDefault="002240ED" w:rsidP="00594C6C">
      <w:pPr>
        <w:pStyle w:val="ListParagraph"/>
        <w:numPr>
          <w:ilvl w:val="0"/>
          <w:numId w:val="42"/>
        </w:numPr>
        <w:tabs>
          <w:tab w:val="left" w:pos="8160"/>
        </w:tabs>
        <w:jc w:val="both"/>
        <w:rPr>
          <w:rFonts w:ascii="Palatino Linotype" w:hAnsi="Palatino Linotype"/>
          <w:b/>
          <w:sz w:val="22"/>
          <w:szCs w:val="22"/>
        </w:rPr>
      </w:pPr>
      <w:r w:rsidRPr="00594C6C">
        <w:rPr>
          <w:rFonts w:ascii="Palatino Linotype" w:hAnsi="Palatino Linotype"/>
          <w:b/>
          <w:sz w:val="22"/>
          <w:szCs w:val="22"/>
        </w:rPr>
        <w:t>SEC Adopts New Rules and Amendments under Title VII of Dodd-Frank</w:t>
      </w:r>
    </w:p>
    <w:p w:rsidR="002240ED" w:rsidRPr="00594C6C" w:rsidRDefault="002240ED" w:rsidP="009271A2">
      <w:pPr>
        <w:tabs>
          <w:tab w:val="left" w:pos="8160"/>
        </w:tabs>
        <w:jc w:val="both"/>
        <w:rPr>
          <w:rFonts w:ascii="Palatino Linotype" w:hAnsi="Palatino Linotype"/>
          <w:sz w:val="22"/>
          <w:szCs w:val="22"/>
        </w:rPr>
      </w:pPr>
    </w:p>
    <w:p w:rsidR="002240ED" w:rsidRPr="00594C6C" w:rsidRDefault="002240ED" w:rsidP="00594C6C">
      <w:pPr>
        <w:shd w:val="clear" w:color="auto" w:fill="FFFFFF"/>
        <w:spacing w:after="150"/>
        <w:jc w:val="both"/>
        <w:textAlignment w:val="baseline"/>
        <w:rPr>
          <w:rFonts w:ascii="Palatino Linotype" w:eastAsia="Times New Roman" w:hAnsi="Palatino Linotype" w:cs="Helvetica"/>
          <w:color w:val="000000"/>
          <w:sz w:val="22"/>
          <w:szCs w:val="22"/>
          <w:lang w:val="en-US"/>
        </w:rPr>
      </w:pPr>
      <w:r w:rsidRPr="00594C6C">
        <w:rPr>
          <w:rFonts w:ascii="Palatino Linotype" w:eastAsia="Times New Roman" w:hAnsi="Palatino Linotype" w:cs="Helvetica"/>
          <w:color w:val="000000"/>
          <w:sz w:val="22"/>
          <w:szCs w:val="22"/>
          <w:lang w:val="en-US"/>
        </w:rPr>
        <w:t>The Securities and Exchange Commission</w:t>
      </w:r>
      <w:r w:rsidR="00594C6C">
        <w:rPr>
          <w:rFonts w:ascii="Palatino Linotype" w:eastAsia="Times New Roman" w:hAnsi="Palatino Linotype" w:cs="Helvetica"/>
          <w:color w:val="000000"/>
          <w:sz w:val="22"/>
          <w:szCs w:val="22"/>
          <w:lang w:val="en-US"/>
        </w:rPr>
        <w:t xml:space="preserve"> (SEC)</w:t>
      </w:r>
      <w:r w:rsidRPr="00594C6C">
        <w:rPr>
          <w:rFonts w:ascii="Palatino Linotype" w:eastAsia="Times New Roman" w:hAnsi="Palatino Linotype" w:cs="Helvetica"/>
          <w:color w:val="000000"/>
          <w:sz w:val="22"/>
          <w:szCs w:val="22"/>
          <w:lang w:val="en-US"/>
        </w:rPr>
        <w:t xml:space="preserve"> </w:t>
      </w:r>
      <w:r w:rsidR="00594C6C">
        <w:rPr>
          <w:rFonts w:ascii="Palatino Linotype" w:eastAsia="Times New Roman" w:hAnsi="Palatino Linotype" w:cs="Helvetica"/>
          <w:color w:val="000000"/>
          <w:sz w:val="22"/>
          <w:szCs w:val="22"/>
          <w:lang w:val="en-US"/>
        </w:rPr>
        <w:t>under</w:t>
      </w:r>
      <w:r w:rsidRPr="00594C6C">
        <w:rPr>
          <w:rFonts w:ascii="Palatino Linotype" w:eastAsia="Times New Roman" w:hAnsi="Palatino Linotype" w:cs="Helvetica"/>
          <w:color w:val="000000"/>
          <w:sz w:val="22"/>
          <w:szCs w:val="22"/>
          <w:lang w:val="en-US"/>
        </w:rPr>
        <w:t>took a significant step toward establishing the regulatory regime for security-based swap dealers by adopting a package of rules and rule amendments under Title VII of the Dodd-Frank Wall Street Reform and Consumer Protection Act (Dodd-Frank Act). These actions establish recordkeeping and reporting requirements for security-based swap dealers and major security-based swap participants and amend the recordkeeping and reporting requirements for broker-dealers. Under these rules, these companies will be required to create and retain fundamental business records to document and track their operations, facilitating the Commission's ability to monitor compliance and reducing risk to the market.</w:t>
      </w:r>
    </w:p>
    <w:p w:rsidR="002240ED" w:rsidRPr="00594C6C" w:rsidRDefault="002240ED" w:rsidP="00594C6C">
      <w:pPr>
        <w:shd w:val="clear" w:color="auto" w:fill="FFFFFF"/>
        <w:spacing w:after="150"/>
        <w:jc w:val="both"/>
        <w:textAlignment w:val="baseline"/>
        <w:rPr>
          <w:rFonts w:ascii="Palatino Linotype" w:eastAsia="Times New Roman" w:hAnsi="Palatino Linotype" w:cs="Helvetica"/>
          <w:color w:val="000000"/>
          <w:sz w:val="22"/>
          <w:szCs w:val="22"/>
          <w:lang w:val="en-US"/>
        </w:rPr>
      </w:pPr>
      <w:r w:rsidRPr="00594C6C">
        <w:rPr>
          <w:rFonts w:ascii="Palatino Linotype" w:eastAsia="Times New Roman" w:hAnsi="Palatino Linotype" w:cs="Helvetica"/>
          <w:color w:val="000000"/>
          <w:sz w:val="22"/>
          <w:szCs w:val="22"/>
          <w:lang w:val="en-US"/>
        </w:rPr>
        <w:t>These rules address seven key areas:</w:t>
      </w:r>
    </w:p>
    <w:p w:rsidR="002240ED" w:rsidRPr="00594C6C" w:rsidRDefault="002240ED" w:rsidP="00594C6C">
      <w:pPr>
        <w:numPr>
          <w:ilvl w:val="0"/>
          <w:numId w:val="40"/>
        </w:numPr>
        <w:shd w:val="clear" w:color="auto" w:fill="FFFFFF"/>
        <w:spacing w:after="75"/>
        <w:ind w:left="300"/>
        <w:jc w:val="both"/>
        <w:textAlignment w:val="baseline"/>
        <w:rPr>
          <w:rFonts w:ascii="Palatino Linotype" w:eastAsia="Times New Roman" w:hAnsi="Palatino Linotype" w:cs="Helvetica"/>
          <w:color w:val="000000"/>
          <w:sz w:val="22"/>
          <w:szCs w:val="22"/>
          <w:lang w:val="en-US"/>
        </w:rPr>
      </w:pPr>
      <w:r w:rsidRPr="00594C6C">
        <w:rPr>
          <w:rFonts w:ascii="Palatino Linotype" w:eastAsia="Times New Roman" w:hAnsi="Palatino Linotype" w:cs="Helvetica"/>
          <w:color w:val="000000"/>
          <w:sz w:val="22"/>
          <w:szCs w:val="22"/>
          <w:lang w:val="en-US"/>
        </w:rPr>
        <w:t>They establish record making requirements for security-based swap dealers (SBSDs) and major security-based swap participants (MSBSPs) and amend the existing record making requirements for broker-dealers to account for their security-based swap activities.</w:t>
      </w:r>
    </w:p>
    <w:p w:rsidR="002240ED" w:rsidRPr="00594C6C" w:rsidRDefault="002240ED" w:rsidP="00594C6C">
      <w:pPr>
        <w:numPr>
          <w:ilvl w:val="0"/>
          <w:numId w:val="40"/>
        </w:numPr>
        <w:shd w:val="clear" w:color="auto" w:fill="FFFFFF"/>
        <w:spacing w:after="75"/>
        <w:ind w:left="300"/>
        <w:jc w:val="both"/>
        <w:textAlignment w:val="baseline"/>
        <w:rPr>
          <w:rFonts w:ascii="Palatino Linotype" w:eastAsia="Times New Roman" w:hAnsi="Palatino Linotype" w:cs="Helvetica"/>
          <w:color w:val="000000"/>
          <w:sz w:val="22"/>
          <w:szCs w:val="22"/>
          <w:lang w:val="en-US"/>
        </w:rPr>
      </w:pPr>
      <w:r w:rsidRPr="00594C6C">
        <w:rPr>
          <w:rFonts w:ascii="Palatino Linotype" w:eastAsia="Times New Roman" w:hAnsi="Palatino Linotype" w:cs="Helvetica"/>
          <w:color w:val="000000"/>
          <w:sz w:val="22"/>
          <w:szCs w:val="22"/>
          <w:lang w:val="en-US"/>
        </w:rPr>
        <w:t>They establish record preservation requirements for SBSDs and MSBSPs and amend the existing record preservation requirements for broker-dealers to address records relating to their security-based swap activities.</w:t>
      </w:r>
    </w:p>
    <w:p w:rsidR="002240ED" w:rsidRPr="00594C6C" w:rsidRDefault="002240ED" w:rsidP="00594C6C">
      <w:pPr>
        <w:numPr>
          <w:ilvl w:val="0"/>
          <w:numId w:val="40"/>
        </w:numPr>
        <w:shd w:val="clear" w:color="auto" w:fill="FFFFFF"/>
        <w:spacing w:after="75"/>
        <w:ind w:left="300"/>
        <w:jc w:val="both"/>
        <w:textAlignment w:val="baseline"/>
        <w:rPr>
          <w:rFonts w:ascii="Palatino Linotype" w:eastAsia="Times New Roman" w:hAnsi="Palatino Linotype" w:cs="Helvetica"/>
          <w:color w:val="000000"/>
          <w:sz w:val="22"/>
          <w:szCs w:val="22"/>
          <w:lang w:val="en-US"/>
        </w:rPr>
      </w:pPr>
      <w:r w:rsidRPr="00594C6C">
        <w:rPr>
          <w:rFonts w:ascii="Palatino Linotype" w:eastAsia="Times New Roman" w:hAnsi="Palatino Linotype" w:cs="Helvetica"/>
          <w:color w:val="000000"/>
          <w:sz w:val="22"/>
          <w:szCs w:val="22"/>
          <w:lang w:val="en-US"/>
        </w:rPr>
        <w:t>They establish periodic reporting and annual audit requirements for SBSDs and MSBSPs and amend the existing reporting requirements for broker-dealers to account for their security-based swap activities.</w:t>
      </w:r>
    </w:p>
    <w:p w:rsidR="002240ED" w:rsidRPr="00594C6C" w:rsidRDefault="002240ED" w:rsidP="00594C6C">
      <w:pPr>
        <w:numPr>
          <w:ilvl w:val="0"/>
          <w:numId w:val="40"/>
        </w:numPr>
        <w:shd w:val="clear" w:color="auto" w:fill="FFFFFF"/>
        <w:spacing w:after="75"/>
        <w:ind w:left="300"/>
        <w:jc w:val="both"/>
        <w:textAlignment w:val="baseline"/>
        <w:rPr>
          <w:rFonts w:ascii="Palatino Linotype" w:eastAsia="Times New Roman" w:hAnsi="Palatino Linotype" w:cs="Helvetica"/>
          <w:color w:val="000000"/>
          <w:sz w:val="22"/>
          <w:szCs w:val="22"/>
          <w:lang w:val="en-US"/>
        </w:rPr>
      </w:pPr>
      <w:r w:rsidRPr="00594C6C">
        <w:rPr>
          <w:rFonts w:ascii="Palatino Linotype" w:eastAsia="Times New Roman" w:hAnsi="Palatino Linotype" w:cs="Helvetica"/>
          <w:color w:val="000000"/>
          <w:sz w:val="22"/>
          <w:szCs w:val="22"/>
          <w:lang w:val="en-US"/>
        </w:rPr>
        <w:t>They establish early warning notification requirements for SBSDs and MSBSPs.</w:t>
      </w:r>
    </w:p>
    <w:p w:rsidR="002240ED" w:rsidRPr="00594C6C" w:rsidRDefault="002240ED" w:rsidP="00594C6C">
      <w:pPr>
        <w:numPr>
          <w:ilvl w:val="0"/>
          <w:numId w:val="40"/>
        </w:numPr>
        <w:shd w:val="clear" w:color="auto" w:fill="FFFFFF"/>
        <w:spacing w:after="75"/>
        <w:ind w:left="300"/>
        <w:jc w:val="both"/>
        <w:textAlignment w:val="baseline"/>
        <w:rPr>
          <w:rFonts w:ascii="Palatino Linotype" w:eastAsia="Times New Roman" w:hAnsi="Palatino Linotype" w:cs="Helvetica"/>
          <w:color w:val="000000"/>
          <w:sz w:val="22"/>
          <w:szCs w:val="22"/>
          <w:lang w:val="en-US"/>
        </w:rPr>
      </w:pPr>
      <w:r w:rsidRPr="00594C6C">
        <w:rPr>
          <w:rFonts w:ascii="Palatino Linotype" w:eastAsia="Times New Roman" w:hAnsi="Palatino Linotype" w:cs="Helvetica"/>
          <w:color w:val="000000"/>
          <w:sz w:val="22"/>
          <w:szCs w:val="22"/>
          <w:lang w:val="en-US"/>
        </w:rPr>
        <w:t>They establish security count requirements for SBSDs that are not registered as broker-dealers and do not have a prudential regulator (stand-alone SBSDs).</w:t>
      </w:r>
    </w:p>
    <w:p w:rsidR="002240ED" w:rsidRPr="00594C6C" w:rsidRDefault="002240ED" w:rsidP="00594C6C">
      <w:pPr>
        <w:numPr>
          <w:ilvl w:val="0"/>
          <w:numId w:val="40"/>
        </w:numPr>
        <w:shd w:val="clear" w:color="auto" w:fill="FFFFFF"/>
        <w:spacing w:after="75"/>
        <w:ind w:left="300"/>
        <w:jc w:val="both"/>
        <w:textAlignment w:val="baseline"/>
        <w:rPr>
          <w:rFonts w:ascii="Palatino Linotype" w:eastAsia="Times New Roman" w:hAnsi="Palatino Linotype" w:cs="Helvetica"/>
          <w:color w:val="000000"/>
          <w:sz w:val="22"/>
          <w:szCs w:val="22"/>
          <w:lang w:val="en-US"/>
        </w:rPr>
      </w:pPr>
      <w:r w:rsidRPr="00594C6C">
        <w:rPr>
          <w:rFonts w:ascii="Palatino Linotype" w:eastAsia="Times New Roman" w:hAnsi="Palatino Linotype" w:cs="Helvetica"/>
          <w:color w:val="000000"/>
          <w:sz w:val="22"/>
          <w:szCs w:val="22"/>
          <w:lang w:val="en-US"/>
        </w:rPr>
        <w:t>They amend the Commission's existing cross-border rule to provide a means to request substituted compliance with respect to the recordkeeping and reporting requirements for SBSDs and MSBSPs.</w:t>
      </w:r>
    </w:p>
    <w:p w:rsidR="002240ED" w:rsidRPr="00594C6C" w:rsidRDefault="002240ED" w:rsidP="00594C6C">
      <w:pPr>
        <w:numPr>
          <w:ilvl w:val="0"/>
          <w:numId w:val="40"/>
        </w:numPr>
        <w:shd w:val="clear" w:color="auto" w:fill="FFFFFF"/>
        <w:spacing w:after="75"/>
        <w:ind w:left="300"/>
        <w:jc w:val="both"/>
        <w:textAlignment w:val="baseline"/>
        <w:rPr>
          <w:rFonts w:ascii="Palatino Linotype" w:eastAsia="Times New Roman" w:hAnsi="Palatino Linotype" w:cs="Helvetica"/>
          <w:color w:val="000000"/>
          <w:sz w:val="22"/>
          <w:szCs w:val="22"/>
          <w:lang w:val="en-US"/>
        </w:rPr>
      </w:pPr>
      <w:r w:rsidRPr="00594C6C">
        <w:rPr>
          <w:rFonts w:ascii="Palatino Linotype" w:eastAsia="Times New Roman" w:hAnsi="Palatino Linotype" w:cs="Helvetica"/>
          <w:color w:val="000000"/>
          <w:sz w:val="22"/>
          <w:szCs w:val="22"/>
          <w:lang w:val="en-US"/>
        </w:rPr>
        <w:t>They amend a rule that permits certain SBSDs that are registered as swap dealers and predominantly engage in a swaps business to comply with CFTC requirements in lieu of Commission requirements. The amendment adds the recordkeeping and reporting requirements being adopted today to this alternative compliance mechanism. </w:t>
      </w:r>
    </w:p>
    <w:p w:rsidR="002240ED" w:rsidRDefault="002240ED" w:rsidP="009271A2">
      <w:pPr>
        <w:tabs>
          <w:tab w:val="left" w:pos="8160"/>
        </w:tabs>
        <w:jc w:val="both"/>
      </w:pPr>
    </w:p>
    <w:p w:rsidR="002240ED" w:rsidRPr="00594C6C" w:rsidRDefault="002240ED" w:rsidP="009271A2">
      <w:pPr>
        <w:tabs>
          <w:tab w:val="left" w:pos="8160"/>
        </w:tabs>
        <w:jc w:val="both"/>
        <w:rPr>
          <w:rFonts w:ascii="Palatino Linotype" w:hAnsi="Palatino Linotype"/>
          <w:b/>
          <w:sz w:val="20"/>
          <w:szCs w:val="20"/>
        </w:rPr>
      </w:pPr>
      <w:r w:rsidRPr="00594C6C">
        <w:rPr>
          <w:rFonts w:ascii="Palatino Linotype" w:hAnsi="Palatino Linotype"/>
          <w:b/>
          <w:sz w:val="20"/>
          <w:szCs w:val="20"/>
        </w:rPr>
        <w:t xml:space="preserve">Source: </w:t>
      </w:r>
      <w:hyperlink r:id="rId36" w:history="1">
        <w:r w:rsidRPr="00594C6C">
          <w:rPr>
            <w:rStyle w:val="Hyperlink"/>
            <w:rFonts w:ascii="Palatino Linotype" w:hAnsi="Palatino Linotype"/>
            <w:b/>
            <w:sz w:val="20"/>
            <w:szCs w:val="20"/>
          </w:rPr>
          <w:t>https://www.sec.gov/news/press-release/2019-182</w:t>
        </w:r>
      </w:hyperlink>
    </w:p>
    <w:p w:rsidR="002240ED" w:rsidRDefault="002240ED" w:rsidP="009271A2">
      <w:pPr>
        <w:tabs>
          <w:tab w:val="left" w:pos="8160"/>
        </w:tabs>
        <w:jc w:val="both"/>
      </w:pPr>
    </w:p>
    <w:p w:rsidR="002240ED" w:rsidRPr="00594C6C" w:rsidRDefault="002240ED" w:rsidP="00594C6C">
      <w:pPr>
        <w:pStyle w:val="ListParagraph"/>
        <w:numPr>
          <w:ilvl w:val="0"/>
          <w:numId w:val="42"/>
        </w:numPr>
        <w:tabs>
          <w:tab w:val="left" w:pos="8160"/>
        </w:tabs>
        <w:jc w:val="both"/>
        <w:rPr>
          <w:rFonts w:ascii="Palatino Linotype" w:hAnsi="Palatino Linotype"/>
          <w:b/>
          <w:sz w:val="22"/>
          <w:szCs w:val="22"/>
        </w:rPr>
      </w:pPr>
      <w:r w:rsidRPr="00594C6C">
        <w:rPr>
          <w:rFonts w:ascii="Palatino Linotype" w:hAnsi="Palatino Linotype"/>
          <w:b/>
          <w:sz w:val="22"/>
          <w:szCs w:val="22"/>
        </w:rPr>
        <w:t>SEC Proposes Rules to Update Statistical Disclosures for Banking Registrants</w:t>
      </w:r>
    </w:p>
    <w:p w:rsidR="002240ED" w:rsidRDefault="002240ED" w:rsidP="009271A2">
      <w:pPr>
        <w:tabs>
          <w:tab w:val="left" w:pos="8160"/>
        </w:tabs>
        <w:jc w:val="both"/>
      </w:pPr>
    </w:p>
    <w:p w:rsidR="002240ED" w:rsidRPr="00594C6C" w:rsidRDefault="002240ED" w:rsidP="00594C6C">
      <w:pPr>
        <w:shd w:val="clear" w:color="auto" w:fill="FFFFFF"/>
        <w:spacing w:after="150"/>
        <w:jc w:val="both"/>
        <w:textAlignment w:val="baseline"/>
        <w:rPr>
          <w:rFonts w:ascii="Palatino Linotype" w:eastAsia="Times New Roman" w:hAnsi="Palatino Linotype" w:cs="Helvetica"/>
          <w:color w:val="000000"/>
          <w:sz w:val="22"/>
          <w:szCs w:val="22"/>
          <w:lang w:val="en-US"/>
        </w:rPr>
      </w:pPr>
      <w:r w:rsidRPr="00594C6C">
        <w:rPr>
          <w:rFonts w:ascii="Palatino Linotype" w:eastAsia="Times New Roman" w:hAnsi="Palatino Linotype" w:cs="Helvetica"/>
          <w:color w:val="000000"/>
          <w:sz w:val="22"/>
          <w:szCs w:val="22"/>
          <w:lang w:val="en-US"/>
        </w:rPr>
        <w:t>The Securities and Exchange Commission</w:t>
      </w:r>
      <w:r w:rsidR="00594C6C">
        <w:rPr>
          <w:rFonts w:ascii="Palatino Linotype" w:eastAsia="Times New Roman" w:hAnsi="Palatino Linotype" w:cs="Helvetica"/>
          <w:color w:val="000000"/>
          <w:sz w:val="22"/>
          <w:szCs w:val="22"/>
          <w:lang w:val="en-US"/>
        </w:rPr>
        <w:t xml:space="preserve"> (SEC)</w:t>
      </w:r>
      <w:r w:rsidRPr="00594C6C">
        <w:rPr>
          <w:rFonts w:ascii="Palatino Linotype" w:eastAsia="Times New Roman" w:hAnsi="Palatino Linotype" w:cs="Helvetica"/>
          <w:color w:val="000000"/>
          <w:sz w:val="22"/>
          <w:szCs w:val="22"/>
          <w:lang w:val="en-US"/>
        </w:rPr>
        <w:t xml:space="preserve"> proposed rules to update the statistical disclosures that bank and savings and loan registrants provide to investors, and eliminate disclosures that overlap with Commission rules, U.S. GAAP or IFRS.  The proposed rules would replace Industry Guide 3, Statistical Disclosure by Bank Holding Companies, with updated disclosure in a new subpart of Regulation S-K.</w:t>
      </w:r>
    </w:p>
    <w:p w:rsidR="002240ED" w:rsidRPr="00594C6C" w:rsidRDefault="002240ED" w:rsidP="00594C6C">
      <w:pPr>
        <w:shd w:val="clear" w:color="auto" w:fill="FFFFFF"/>
        <w:spacing w:after="150"/>
        <w:jc w:val="both"/>
        <w:textAlignment w:val="baseline"/>
        <w:rPr>
          <w:rFonts w:ascii="Palatino Linotype" w:eastAsia="Times New Roman" w:hAnsi="Palatino Linotype" w:cs="Helvetica"/>
          <w:color w:val="000000"/>
          <w:sz w:val="22"/>
          <w:szCs w:val="22"/>
          <w:lang w:val="en-US"/>
        </w:rPr>
      </w:pPr>
      <w:r w:rsidRPr="00594C6C">
        <w:rPr>
          <w:rFonts w:ascii="Palatino Linotype" w:eastAsia="Times New Roman" w:hAnsi="Palatino Linotype" w:cs="Helvetica"/>
          <w:color w:val="000000"/>
          <w:sz w:val="22"/>
          <w:szCs w:val="22"/>
          <w:lang w:val="en-US"/>
        </w:rPr>
        <w:lastRenderedPageBreak/>
        <w:t>The proposal will have a 60-day public comment period following its publication in the Federal Register.</w:t>
      </w:r>
    </w:p>
    <w:p w:rsidR="002240ED" w:rsidRPr="00594C6C" w:rsidRDefault="002240ED" w:rsidP="00594C6C">
      <w:pPr>
        <w:shd w:val="clear" w:color="auto" w:fill="FFFFFF"/>
        <w:spacing w:after="150"/>
        <w:jc w:val="both"/>
        <w:textAlignment w:val="baseline"/>
        <w:rPr>
          <w:rFonts w:ascii="Palatino Linotype" w:eastAsia="Times New Roman" w:hAnsi="Palatino Linotype" w:cs="Helvetica"/>
          <w:color w:val="000000"/>
          <w:sz w:val="22"/>
          <w:szCs w:val="22"/>
          <w:lang w:val="en-US"/>
        </w:rPr>
      </w:pPr>
      <w:r w:rsidRPr="00594C6C">
        <w:rPr>
          <w:rFonts w:ascii="Palatino Linotype" w:eastAsia="Times New Roman" w:hAnsi="Palatino Linotype" w:cs="Helvetica"/>
          <w:color w:val="000000"/>
          <w:sz w:val="22"/>
          <w:szCs w:val="22"/>
          <w:lang w:val="en-US"/>
        </w:rPr>
        <w:t>The proposed rules would apply to bank holding companies, banks, savings and loan holding companies, and savings and loan associations (“banking and savings and loan registrants”). </w:t>
      </w:r>
    </w:p>
    <w:p w:rsidR="002240ED" w:rsidRPr="00594C6C" w:rsidRDefault="002240ED" w:rsidP="00594C6C">
      <w:pPr>
        <w:shd w:val="clear" w:color="auto" w:fill="FFFFFF"/>
        <w:spacing w:after="150"/>
        <w:jc w:val="both"/>
        <w:textAlignment w:val="baseline"/>
        <w:rPr>
          <w:rFonts w:ascii="Palatino Linotype" w:eastAsia="Times New Roman" w:hAnsi="Palatino Linotype" w:cs="Helvetica"/>
          <w:color w:val="000000"/>
          <w:sz w:val="22"/>
          <w:szCs w:val="22"/>
          <w:lang w:val="en-US"/>
        </w:rPr>
      </w:pPr>
      <w:r w:rsidRPr="00594C6C">
        <w:rPr>
          <w:rFonts w:ascii="Palatino Linotype" w:eastAsia="Times New Roman" w:hAnsi="Palatino Linotype" w:cs="Helvetica"/>
          <w:color w:val="000000"/>
          <w:sz w:val="22"/>
          <w:szCs w:val="22"/>
          <w:lang w:val="en-US"/>
        </w:rPr>
        <w:t>The Commission’s proposed rules would require disclosure about the following:</w:t>
      </w:r>
    </w:p>
    <w:p w:rsidR="002240ED" w:rsidRPr="00594C6C" w:rsidRDefault="002240ED" w:rsidP="00594C6C">
      <w:pPr>
        <w:numPr>
          <w:ilvl w:val="0"/>
          <w:numId w:val="41"/>
        </w:numPr>
        <w:shd w:val="clear" w:color="auto" w:fill="FFFFFF"/>
        <w:spacing w:after="75"/>
        <w:ind w:left="300"/>
        <w:jc w:val="both"/>
        <w:textAlignment w:val="baseline"/>
        <w:rPr>
          <w:rFonts w:ascii="Palatino Linotype" w:eastAsia="Times New Roman" w:hAnsi="Palatino Linotype" w:cs="Helvetica"/>
          <w:color w:val="000000"/>
          <w:sz w:val="22"/>
          <w:szCs w:val="22"/>
          <w:lang w:val="en-US"/>
        </w:rPr>
      </w:pPr>
      <w:r w:rsidRPr="00594C6C">
        <w:rPr>
          <w:rFonts w:ascii="Palatino Linotype" w:eastAsia="Times New Roman" w:hAnsi="Palatino Linotype" w:cs="Helvetica"/>
          <w:color w:val="000000"/>
          <w:sz w:val="22"/>
          <w:szCs w:val="22"/>
          <w:lang w:val="en-US"/>
        </w:rPr>
        <w:t>Distribution of assets, liabilities and stockholders’ equity, the related interest income and expense, and interest rates and interest differential;</w:t>
      </w:r>
    </w:p>
    <w:p w:rsidR="002240ED" w:rsidRPr="00594C6C" w:rsidRDefault="002240ED" w:rsidP="00594C6C">
      <w:pPr>
        <w:numPr>
          <w:ilvl w:val="0"/>
          <w:numId w:val="41"/>
        </w:numPr>
        <w:shd w:val="clear" w:color="auto" w:fill="FFFFFF"/>
        <w:spacing w:after="75"/>
        <w:ind w:left="300"/>
        <w:jc w:val="both"/>
        <w:textAlignment w:val="baseline"/>
        <w:rPr>
          <w:rFonts w:ascii="Palatino Linotype" w:eastAsia="Times New Roman" w:hAnsi="Palatino Linotype" w:cs="Helvetica"/>
          <w:color w:val="000000"/>
          <w:sz w:val="22"/>
          <w:szCs w:val="22"/>
          <w:lang w:val="en-US"/>
        </w:rPr>
      </w:pPr>
      <w:r w:rsidRPr="00594C6C">
        <w:rPr>
          <w:rFonts w:ascii="Palatino Linotype" w:eastAsia="Times New Roman" w:hAnsi="Palatino Linotype" w:cs="Helvetica"/>
          <w:color w:val="000000"/>
          <w:sz w:val="22"/>
          <w:szCs w:val="22"/>
          <w:lang w:val="en-US"/>
        </w:rPr>
        <w:t>Weighted average yield of investments in debt securities by maturity;</w:t>
      </w:r>
    </w:p>
    <w:p w:rsidR="002240ED" w:rsidRPr="00594C6C" w:rsidRDefault="002240ED" w:rsidP="00594C6C">
      <w:pPr>
        <w:numPr>
          <w:ilvl w:val="0"/>
          <w:numId w:val="41"/>
        </w:numPr>
        <w:shd w:val="clear" w:color="auto" w:fill="FFFFFF"/>
        <w:spacing w:after="75"/>
        <w:ind w:left="300"/>
        <w:jc w:val="both"/>
        <w:textAlignment w:val="baseline"/>
        <w:rPr>
          <w:rFonts w:ascii="Palatino Linotype" w:eastAsia="Times New Roman" w:hAnsi="Palatino Linotype" w:cs="Helvetica"/>
          <w:color w:val="000000"/>
          <w:sz w:val="22"/>
          <w:szCs w:val="22"/>
          <w:lang w:val="en-US"/>
        </w:rPr>
      </w:pPr>
      <w:r w:rsidRPr="00594C6C">
        <w:rPr>
          <w:rFonts w:ascii="Palatino Linotype" w:eastAsia="Times New Roman" w:hAnsi="Palatino Linotype" w:cs="Helvetica"/>
          <w:color w:val="000000"/>
          <w:sz w:val="22"/>
          <w:szCs w:val="22"/>
          <w:lang w:val="en-US"/>
        </w:rPr>
        <w:t>Maturity analysis of the loan portfolio including the amounts that have predetermined interest rates and floating or adjustable interest rates;</w:t>
      </w:r>
    </w:p>
    <w:p w:rsidR="002240ED" w:rsidRPr="00594C6C" w:rsidRDefault="002240ED" w:rsidP="00594C6C">
      <w:pPr>
        <w:numPr>
          <w:ilvl w:val="0"/>
          <w:numId w:val="41"/>
        </w:numPr>
        <w:shd w:val="clear" w:color="auto" w:fill="FFFFFF"/>
        <w:spacing w:after="75"/>
        <w:ind w:left="300"/>
        <w:jc w:val="both"/>
        <w:textAlignment w:val="baseline"/>
        <w:rPr>
          <w:rFonts w:ascii="Palatino Linotype" w:eastAsia="Times New Roman" w:hAnsi="Palatino Linotype" w:cs="Helvetica"/>
          <w:color w:val="000000"/>
          <w:sz w:val="22"/>
          <w:szCs w:val="22"/>
          <w:lang w:val="en-US"/>
        </w:rPr>
      </w:pPr>
      <w:r w:rsidRPr="00594C6C">
        <w:rPr>
          <w:rFonts w:ascii="Palatino Linotype" w:eastAsia="Times New Roman" w:hAnsi="Palatino Linotype" w:cs="Helvetica"/>
          <w:color w:val="000000"/>
          <w:sz w:val="22"/>
          <w:szCs w:val="22"/>
          <w:lang w:val="en-US"/>
        </w:rPr>
        <w:t>An allocation of the allowance for credit losses and certain credit ratios; and</w:t>
      </w:r>
    </w:p>
    <w:p w:rsidR="002240ED" w:rsidRPr="00594C6C" w:rsidRDefault="002240ED" w:rsidP="00594C6C">
      <w:pPr>
        <w:numPr>
          <w:ilvl w:val="0"/>
          <w:numId w:val="41"/>
        </w:numPr>
        <w:shd w:val="clear" w:color="auto" w:fill="FFFFFF"/>
        <w:spacing w:after="75"/>
        <w:ind w:left="300"/>
        <w:jc w:val="both"/>
        <w:textAlignment w:val="baseline"/>
        <w:rPr>
          <w:rFonts w:ascii="Palatino Linotype" w:eastAsia="Times New Roman" w:hAnsi="Palatino Linotype" w:cs="Helvetica"/>
          <w:color w:val="000000"/>
          <w:sz w:val="22"/>
          <w:szCs w:val="22"/>
          <w:lang w:val="en-US"/>
        </w:rPr>
      </w:pPr>
      <w:r w:rsidRPr="00594C6C">
        <w:rPr>
          <w:rFonts w:ascii="Palatino Linotype" w:eastAsia="Times New Roman" w:hAnsi="Palatino Linotype" w:cs="Helvetica"/>
          <w:color w:val="000000"/>
          <w:sz w:val="22"/>
          <w:szCs w:val="22"/>
          <w:lang w:val="en-US"/>
        </w:rPr>
        <w:t>Information about bank deposits including amounts that are uninsured.</w:t>
      </w:r>
    </w:p>
    <w:p w:rsidR="002240ED" w:rsidRPr="00594C6C" w:rsidRDefault="002240ED" w:rsidP="00594C6C">
      <w:pPr>
        <w:tabs>
          <w:tab w:val="left" w:pos="8160"/>
        </w:tabs>
        <w:jc w:val="both"/>
        <w:rPr>
          <w:rFonts w:ascii="Palatino Linotype" w:hAnsi="Palatino Linotype"/>
          <w:sz w:val="22"/>
          <w:szCs w:val="22"/>
        </w:rPr>
      </w:pPr>
    </w:p>
    <w:p w:rsidR="002240ED" w:rsidRPr="00594C6C" w:rsidRDefault="002240ED" w:rsidP="00594C6C">
      <w:pPr>
        <w:tabs>
          <w:tab w:val="left" w:pos="8160"/>
        </w:tabs>
        <w:jc w:val="both"/>
        <w:rPr>
          <w:rFonts w:ascii="Palatino Linotype" w:hAnsi="Palatino Linotype"/>
          <w:sz w:val="22"/>
          <w:szCs w:val="22"/>
        </w:rPr>
      </w:pPr>
    </w:p>
    <w:p w:rsidR="002240ED" w:rsidRPr="000E3A95" w:rsidRDefault="002240ED" w:rsidP="00594C6C">
      <w:pPr>
        <w:tabs>
          <w:tab w:val="left" w:pos="8160"/>
        </w:tabs>
        <w:jc w:val="both"/>
        <w:rPr>
          <w:rFonts w:ascii="Palatino Linotype" w:hAnsi="Palatino Linotype"/>
          <w:b/>
          <w:sz w:val="20"/>
          <w:szCs w:val="20"/>
        </w:rPr>
      </w:pPr>
      <w:r w:rsidRPr="000E3A95">
        <w:rPr>
          <w:rFonts w:ascii="Palatino Linotype" w:hAnsi="Palatino Linotype"/>
          <w:b/>
          <w:sz w:val="20"/>
          <w:szCs w:val="20"/>
        </w:rPr>
        <w:t xml:space="preserve">Source: </w:t>
      </w:r>
      <w:hyperlink r:id="rId37" w:history="1">
        <w:r w:rsidRPr="000E3A95">
          <w:rPr>
            <w:rStyle w:val="Hyperlink"/>
            <w:rFonts w:ascii="Palatino Linotype" w:hAnsi="Palatino Linotype"/>
            <w:b/>
            <w:sz w:val="20"/>
            <w:szCs w:val="20"/>
          </w:rPr>
          <w:t>https://www.sec.gov/news/press-release/2019-179</w:t>
        </w:r>
      </w:hyperlink>
    </w:p>
    <w:p w:rsidR="002240ED" w:rsidRDefault="002240ED" w:rsidP="009271A2">
      <w:pPr>
        <w:tabs>
          <w:tab w:val="left" w:pos="8160"/>
        </w:tabs>
        <w:jc w:val="both"/>
      </w:pPr>
    </w:p>
    <w:p w:rsidR="002240ED" w:rsidRDefault="002240ED" w:rsidP="009271A2">
      <w:pPr>
        <w:tabs>
          <w:tab w:val="left" w:pos="8160"/>
        </w:tabs>
        <w:jc w:val="both"/>
      </w:pPr>
    </w:p>
    <w:p w:rsidR="002240ED" w:rsidRPr="000E3A95" w:rsidRDefault="002240ED" w:rsidP="000E3A95">
      <w:pPr>
        <w:pStyle w:val="ListParagraph"/>
        <w:numPr>
          <w:ilvl w:val="0"/>
          <w:numId w:val="42"/>
        </w:numPr>
        <w:tabs>
          <w:tab w:val="left" w:pos="8160"/>
        </w:tabs>
        <w:jc w:val="both"/>
        <w:rPr>
          <w:rFonts w:ascii="Palatino Linotype" w:hAnsi="Palatino Linotype"/>
          <w:b/>
          <w:sz w:val="22"/>
          <w:szCs w:val="22"/>
        </w:rPr>
      </w:pPr>
      <w:r w:rsidRPr="000E3A95">
        <w:rPr>
          <w:rFonts w:ascii="Palatino Linotype" w:hAnsi="Palatino Linotype"/>
          <w:b/>
          <w:sz w:val="22"/>
          <w:szCs w:val="22"/>
        </w:rPr>
        <w:t>SEC Proposes Amendments to Enhance Retail Investor Protections</w:t>
      </w:r>
    </w:p>
    <w:p w:rsidR="002240ED" w:rsidRDefault="002240ED" w:rsidP="009271A2">
      <w:pPr>
        <w:tabs>
          <w:tab w:val="left" w:pos="8160"/>
        </w:tabs>
        <w:jc w:val="both"/>
      </w:pPr>
    </w:p>
    <w:p w:rsidR="002240ED" w:rsidRPr="000E3A95" w:rsidRDefault="002240ED" w:rsidP="000E3A95">
      <w:pPr>
        <w:shd w:val="clear" w:color="auto" w:fill="FFFFFF"/>
        <w:spacing w:after="150"/>
        <w:jc w:val="both"/>
        <w:textAlignment w:val="baseline"/>
        <w:rPr>
          <w:rFonts w:ascii="Palatino Linotype" w:eastAsia="Times New Roman" w:hAnsi="Palatino Linotype" w:cs="Helvetica"/>
          <w:color w:val="000000"/>
          <w:sz w:val="22"/>
          <w:szCs w:val="22"/>
          <w:lang w:val="en-US"/>
        </w:rPr>
      </w:pPr>
      <w:r w:rsidRPr="000E3A95">
        <w:rPr>
          <w:rFonts w:ascii="Palatino Linotype" w:eastAsia="Times New Roman" w:hAnsi="Palatino Linotype" w:cs="Helvetica"/>
          <w:color w:val="000000"/>
          <w:sz w:val="22"/>
          <w:szCs w:val="22"/>
          <w:lang w:val="en-US"/>
        </w:rPr>
        <w:t>The Securities and Exchange Commission</w:t>
      </w:r>
      <w:r w:rsidR="000E3A95">
        <w:rPr>
          <w:rFonts w:ascii="Palatino Linotype" w:eastAsia="Times New Roman" w:hAnsi="Palatino Linotype" w:cs="Helvetica"/>
          <w:color w:val="000000"/>
          <w:sz w:val="22"/>
          <w:szCs w:val="22"/>
          <w:lang w:val="en-US"/>
        </w:rPr>
        <w:t xml:space="preserve"> (SEC)</w:t>
      </w:r>
      <w:r w:rsidRPr="000E3A95">
        <w:rPr>
          <w:rFonts w:ascii="Palatino Linotype" w:eastAsia="Times New Roman" w:hAnsi="Palatino Linotype" w:cs="Helvetica"/>
          <w:color w:val="000000"/>
          <w:sz w:val="22"/>
          <w:szCs w:val="22"/>
          <w:lang w:val="en-US"/>
        </w:rPr>
        <w:t xml:space="preserve"> voted to propose amendments to Exchange Act Rule 15c2-11, which sets out certain requirements with which a broker-dealer must comply before it can publish quotations for securities in the over-the-counter (“OTC”) market.  The proposed amendments are designed to modernize the Rule, which was last substantively amended in 1991, and to enhance investor protection by requiring that current and publicly available issuer information is accessible to investors.  The proposed amendments would provide greater transparency to the investing public by requiring that information about the issuer and the security be current and publicly available before a broker-dealer can begin quoting that security. </w:t>
      </w:r>
    </w:p>
    <w:p w:rsidR="002240ED" w:rsidRPr="000E3A95" w:rsidRDefault="002240ED" w:rsidP="000E3A95">
      <w:pPr>
        <w:shd w:val="clear" w:color="auto" w:fill="FFFFFF"/>
        <w:spacing w:after="150"/>
        <w:jc w:val="both"/>
        <w:textAlignment w:val="baseline"/>
        <w:rPr>
          <w:rFonts w:ascii="Palatino Linotype" w:eastAsia="Times New Roman" w:hAnsi="Palatino Linotype" w:cs="Helvetica"/>
          <w:color w:val="000000"/>
          <w:sz w:val="22"/>
          <w:szCs w:val="22"/>
          <w:lang w:val="en-US"/>
        </w:rPr>
      </w:pPr>
      <w:r w:rsidRPr="000E3A95">
        <w:rPr>
          <w:rFonts w:ascii="Palatino Linotype" w:eastAsia="Times New Roman" w:hAnsi="Palatino Linotype" w:cs="Helvetica"/>
          <w:color w:val="000000"/>
          <w:sz w:val="22"/>
          <w:szCs w:val="22"/>
          <w:lang w:val="en-US"/>
        </w:rPr>
        <w:t>Securities that trade on the OTC market are primarily owned by retail investors.  Because broker-dealers play an integral role in facilitating investor access to OTC securities and serve an important gatekeeper function under Rule 15c2-11, the Rule requires that a broker-dealer review basic information about an issuer before quoting securities to investors in the OTC market.  Certain of the Rule’s exceptions, however, permit broker-dealers to continue to publish quotations when there is no current information about the issuer available to the public or the broker-dealer.  The Commission is concerned that, in today’s OTC market, market participants can take advantage of these exceptions to the detriment of retail investors.</w:t>
      </w:r>
    </w:p>
    <w:p w:rsidR="002240ED" w:rsidRPr="000E3A95" w:rsidRDefault="002240ED" w:rsidP="000E3A95">
      <w:pPr>
        <w:shd w:val="clear" w:color="auto" w:fill="FFFFFF"/>
        <w:spacing w:after="150"/>
        <w:jc w:val="both"/>
        <w:textAlignment w:val="baseline"/>
        <w:rPr>
          <w:rFonts w:ascii="Palatino Linotype" w:eastAsia="Times New Roman" w:hAnsi="Palatino Linotype" w:cs="Helvetica"/>
          <w:color w:val="000000"/>
          <w:sz w:val="22"/>
          <w:szCs w:val="22"/>
          <w:lang w:val="en-US"/>
        </w:rPr>
      </w:pPr>
      <w:r w:rsidRPr="000E3A95">
        <w:rPr>
          <w:rFonts w:ascii="Palatino Linotype" w:eastAsia="Times New Roman" w:hAnsi="Palatino Linotype" w:cs="Helvetica"/>
          <w:color w:val="000000"/>
          <w:sz w:val="22"/>
          <w:szCs w:val="22"/>
          <w:lang w:val="en-US"/>
        </w:rPr>
        <w:t>Therefore, the Commission is proposing to limit eligibility for some of the exceptions where an issuer’s information becomes unavailable to the public or is no longer current.  The proposed amendments would also add new exceptions for broker-dealers quoting certain OTC securities that may be less susceptible to fraud or manipulation.</w:t>
      </w:r>
    </w:p>
    <w:p w:rsidR="002240ED" w:rsidRPr="000E3A95" w:rsidRDefault="002240ED" w:rsidP="000E3A95">
      <w:pPr>
        <w:shd w:val="clear" w:color="auto" w:fill="FFFFFF"/>
        <w:spacing w:after="150"/>
        <w:jc w:val="both"/>
        <w:textAlignment w:val="baseline"/>
        <w:rPr>
          <w:rFonts w:ascii="Palatino Linotype" w:eastAsia="Times New Roman" w:hAnsi="Palatino Linotype" w:cs="Helvetica"/>
          <w:color w:val="000000"/>
          <w:sz w:val="22"/>
          <w:szCs w:val="22"/>
          <w:lang w:val="en-US"/>
        </w:rPr>
      </w:pPr>
      <w:r w:rsidRPr="000E3A95">
        <w:rPr>
          <w:rFonts w:ascii="Palatino Linotype" w:eastAsia="Times New Roman" w:hAnsi="Palatino Linotype" w:cs="Helvetica"/>
          <w:color w:val="000000"/>
          <w:sz w:val="22"/>
          <w:szCs w:val="22"/>
          <w:lang w:val="en-US"/>
        </w:rPr>
        <w:t>The proposed amendments contribute to the Commission’s ongoing efforts to better address risks to investors, particularly retail investors.  The Commission believes that investors who have access to current and publicly available issuer information are better equipped to make informed decisions about how to allocate their capital.</w:t>
      </w:r>
    </w:p>
    <w:p w:rsidR="002240ED" w:rsidRPr="000E3A95" w:rsidRDefault="002240ED" w:rsidP="000E3A95">
      <w:pPr>
        <w:tabs>
          <w:tab w:val="left" w:pos="8160"/>
        </w:tabs>
        <w:jc w:val="both"/>
        <w:rPr>
          <w:rFonts w:ascii="Palatino Linotype" w:hAnsi="Palatino Linotype"/>
          <w:b/>
          <w:sz w:val="20"/>
          <w:szCs w:val="20"/>
        </w:rPr>
      </w:pPr>
      <w:r w:rsidRPr="000E3A95">
        <w:rPr>
          <w:rFonts w:ascii="Palatino Linotype" w:hAnsi="Palatino Linotype"/>
          <w:b/>
          <w:sz w:val="20"/>
          <w:szCs w:val="20"/>
        </w:rPr>
        <w:t xml:space="preserve">Source: </w:t>
      </w:r>
      <w:hyperlink r:id="rId38" w:history="1">
        <w:r w:rsidRPr="000E3A95">
          <w:rPr>
            <w:rStyle w:val="Hyperlink"/>
            <w:rFonts w:ascii="Palatino Linotype" w:hAnsi="Palatino Linotype"/>
            <w:b/>
            <w:sz w:val="20"/>
            <w:szCs w:val="20"/>
          </w:rPr>
          <w:t>https://www.sec.gov/news/press-release/2019-189</w:t>
        </w:r>
      </w:hyperlink>
    </w:p>
    <w:p w:rsidR="002240ED" w:rsidRDefault="002240ED" w:rsidP="009271A2">
      <w:pPr>
        <w:tabs>
          <w:tab w:val="left" w:pos="8160"/>
        </w:tabs>
        <w:jc w:val="both"/>
      </w:pPr>
    </w:p>
    <w:p w:rsidR="002240ED" w:rsidRDefault="002240ED" w:rsidP="009271A2">
      <w:pPr>
        <w:tabs>
          <w:tab w:val="left" w:pos="8160"/>
        </w:tabs>
        <w:jc w:val="both"/>
      </w:pPr>
    </w:p>
    <w:p w:rsidR="002240ED" w:rsidRPr="000E3A95" w:rsidRDefault="002240ED" w:rsidP="000E3A95">
      <w:pPr>
        <w:pStyle w:val="ListParagraph"/>
        <w:numPr>
          <w:ilvl w:val="0"/>
          <w:numId w:val="42"/>
        </w:numPr>
        <w:tabs>
          <w:tab w:val="left" w:pos="8160"/>
        </w:tabs>
        <w:jc w:val="both"/>
        <w:rPr>
          <w:rFonts w:ascii="Palatino Linotype" w:hAnsi="Palatino Linotype"/>
          <w:b/>
          <w:sz w:val="22"/>
          <w:szCs w:val="22"/>
        </w:rPr>
      </w:pPr>
      <w:r w:rsidRPr="000E3A95">
        <w:rPr>
          <w:rFonts w:ascii="Palatino Linotype" w:hAnsi="Palatino Linotype"/>
          <w:b/>
          <w:sz w:val="22"/>
          <w:szCs w:val="22"/>
        </w:rPr>
        <w:t>SEC Adopts New Rule to Modernize Regulation of Exchange-Traded Funds</w:t>
      </w:r>
    </w:p>
    <w:p w:rsidR="002240ED" w:rsidRDefault="002240ED" w:rsidP="009271A2">
      <w:pPr>
        <w:tabs>
          <w:tab w:val="left" w:pos="8160"/>
        </w:tabs>
        <w:jc w:val="both"/>
      </w:pPr>
    </w:p>
    <w:p w:rsidR="002240ED" w:rsidRPr="000E3A95" w:rsidRDefault="002240ED" w:rsidP="000E3A95">
      <w:pPr>
        <w:shd w:val="clear" w:color="auto" w:fill="FFFFFF"/>
        <w:spacing w:after="150"/>
        <w:jc w:val="both"/>
        <w:textAlignment w:val="baseline"/>
        <w:rPr>
          <w:rFonts w:ascii="Palatino Linotype" w:eastAsia="Times New Roman" w:hAnsi="Palatino Linotype" w:cs="Helvetica"/>
          <w:color w:val="000000"/>
          <w:sz w:val="22"/>
          <w:szCs w:val="22"/>
          <w:lang w:val="en-US"/>
        </w:rPr>
      </w:pPr>
      <w:r w:rsidRPr="000E3A95">
        <w:rPr>
          <w:rFonts w:ascii="Palatino Linotype" w:eastAsia="Times New Roman" w:hAnsi="Palatino Linotype" w:cs="Helvetica"/>
          <w:color w:val="000000"/>
          <w:sz w:val="22"/>
          <w:szCs w:val="22"/>
          <w:lang w:val="en-US"/>
        </w:rPr>
        <w:t>The Securities and Exchange Commission</w:t>
      </w:r>
      <w:r w:rsidR="000E3A95">
        <w:rPr>
          <w:rFonts w:ascii="Palatino Linotype" w:eastAsia="Times New Roman" w:hAnsi="Palatino Linotype" w:cs="Helvetica"/>
          <w:color w:val="000000"/>
          <w:sz w:val="22"/>
          <w:szCs w:val="22"/>
          <w:lang w:val="en-US"/>
        </w:rPr>
        <w:t xml:space="preserve"> (SEC)</w:t>
      </w:r>
      <w:r w:rsidRPr="000E3A95">
        <w:rPr>
          <w:rFonts w:ascii="Palatino Linotype" w:eastAsia="Times New Roman" w:hAnsi="Palatino Linotype" w:cs="Helvetica"/>
          <w:color w:val="000000"/>
          <w:sz w:val="22"/>
          <w:szCs w:val="22"/>
          <w:lang w:val="en-US"/>
        </w:rPr>
        <w:t xml:space="preserve"> voted to adopt a new rule and form amendments that are designed to modernize the regulation of exchange-traded funds (ETFs), by establishing a clear and consistent framework for the vast majority of ETFs operating today.  The adoption will facilitate greater competition and innovation in the ETF marketplace, leading to more choice for investors.  It also will allow ETFs to come to market more quickly without the time or expense of applying for individual exemptive relief.  In addition, the Commission voted to issue an exemptive order that further harmonizes related relief for broker-dealers.</w:t>
      </w:r>
    </w:p>
    <w:p w:rsidR="002240ED" w:rsidRPr="000E3A95" w:rsidRDefault="002240ED" w:rsidP="000E3A95">
      <w:pPr>
        <w:shd w:val="clear" w:color="auto" w:fill="FFFFFF"/>
        <w:spacing w:after="150"/>
        <w:jc w:val="both"/>
        <w:textAlignment w:val="baseline"/>
        <w:rPr>
          <w:rFonts w:ascii="Palatino Linotype" w:eastAsia="Times New Roman" w:hAnsi="Palatino Linotype" w:cs="Helvetica"/>
          <w:color w:val="000000"/>
          <w:sz w:val="22"/>
          <w:szCs w:val="22"/>
          <w:lang w:val="en-US"/>
        </w:rPr>
      </w:pPr>
      <w:r w:rsidRPr="000E3A95">
        <w:rPr>
          <w:rFonts w:ascii="Palatino Linotype" w:eastAsia="Times New Roman" w:hAnsi="Palatino Linotype" w:cs="Helvetica"/>
          <w:color w:val="000000"/>
          <w:sz w:val="22"/>
          <w:szCs w:val="22"/>
          <w:lang w:val="en-US"/>
        </w:rPr>
        <w:t>ETFs are hybrid investment products not originally allowed under the U.S. securities laws.  Their shares trade on an exchange like a stock or closed-end fund, but they also allow identified large institutions to transact directly with the fund.  Since 1992, the Commission has issued more than 300 exemptive orders allowing ETFs to operate under the Investment Company Act.  ETFs have grown substantially in that period, and today there are approximately 2,000 ETFs with over $3.3 trillion in total net assets.  Investors use ETFs for a variety of purposes, including core components of long-term investment portfolios, investment of temporary cash holdings, and for hedging portfolios.</w:t>
      </w:r>
    </w:p>
    <w:p w:rsidR="002240ED" w:rsidRPr="000E3A95" w:rsidRDefault="002240ED" w:rsidP="000E3A95">
      <w:pPr>
        <w:shd w:val="clear" w:color="auto" w:fill="FFFFFF"/>
        <w:spacing w:after="150"/>
        <w:jc w:val="both"/>
        <w:textAlignment w:val="baseline"/>
        <w:rPr>
          <w:rFonts w:ascii="Palatino Linotype" w:eastAsia="Times New Roman" w:hAnsi="Palatino Linotype" w:cs="Helvetica"/>
          <w:color w:val="000000"/>
          <w:sz w:val="22"/>
          <w:szCs w:val="22"/>
          <w:lang w:val="en-US"/>
        </w:rPr>
      </w:pPr>
      <w:r w:rsidRPr="000E3A95">
        <w:rPr>
          <w:rFonts w:ascii="Palatino Linotype" w:eastAsia="Times New Roman" w:hAnsi="Palatino Linotype" w:cs="Helvetica"/>
          <w:color w:val="000000"/>
          <w:sz w:val="22"/>
          <w:szCs w:val="22"/>
          <w:lang w:val="en-US"/>
        </w:rPr>
        <w:t>ETFs relying on the rule and related exemptive order will have to comply with certain conditions designed to protect investors, including conditions regarding transparency and disclosure.  To help create a consistent ETF regulatory framework, one year after the effective date of the rule, the Commission is rescinding exemptive relief previously granted to certain ETFs, including those that will be permitted to operate in reliance on the rule.  The rule and form amendments will be effective 60 days after publication in the Federal Register, but there will be a one-year transition period for compliance with the form amendments.</w:t>
      </w:r>
    </w:p>
    <w:p w:rsidR="002240ED" w:rsidRPr="000E3A95" w:rsidRDefault="002240ED" w:rsidP="000E3A95">
      <w:pPr>
        <w:tabs>
          <w:tab w:val="left" w:pos="8160"/>
        </w:tabs>
        <w:jc w:val="both"/>
        <w:rPr>
          <w:rFonts w:ascii="Palatino Linotype" w:hAnsi="Palatino Linotype"/>
          <w:b/>
          <w:sz w:val="20"/>
          <w:szCs w:val="20"/>
        </w:rPr>
      </w:pPr>
      <w:r w:rsidRPr="000E3A95">
        <w:rPr>
          <w:rFonts w:ascii="Palatino Linotype" w:hAnsi="Palatino Linotype"/>
          <w:b/>
          <w:sz w:val="20"/>
          <w:szCs w:val="20"/>
        </w:rPr>
        <w:t xml:space="preserve">Source: </w:t>
      </w:r>
      <w:hyperlink r:id="rId39" w:history="1">
        <w:r w:rsidRPr="000E3A95">
          <w:rPr>
            <w:rStyle w:val="Hyperlink"/>
            <w:rFonts w:ascii="Palatino Linotype" w:hAnsi="Palatino Linotype"/>
            <w:b/>
            <w:sz w:val="20"/>
            <w:szCs w:val="20"/>
          </w:rPr>
          <w:t>https://www.sec.gov/news/press-release/2019-190</w:t>
        </w:r>
      </w:hyperlink>
    </w:p>
    <w:p w:rsidR="002240ED" w:rsidRPr="000E3A95" w:rsidRDefault="002240ED" w:rsidP="000E3A95">
      <w:pPr>
        <w:tabs>
          <w:tab w:val="left" w:pos="8160"/>
        </w:tabs>
        <w:jc w:val="both"/>
        <w:rPr>
          <w:rFonts w:ascii="Palatino Linotype" w:hAnsi="Palatino Linotype"/>
          <w:sz w:val="22"/>
          <w:szCs w:val="22"/>
        </w:rPr>
      </w:pPr>
    </w:p>
    <w:p w:rsidR="002240ED" w:rsidRDefault="002240ED" w:rsidP="009271A2">
      <w:pPr>
        <w:tabs>
          <w:tab w:val="left" w:pos="8160"/>
        </w:tabs>
        <w:jc w:val="both"/>
      </w:pPr>
    </w:p>
    <w:p w:rsidR="00594C6C" w:rsidRPr="000E3A95" w:rsidRDefault="00594C6C" w:rsidP="000E3A95">
      <w:pPr>
        <w:pStyle w:val="ListParagraph"/>
        <w:numPr>
          <w:ilvl w:val="0"/>
          <w:numId w:val="42"/>
        </w:numPr>
        <w:tabs>
          <w:tab w:val="left" w:pos="8160"/>
        </w:tabs>
        <w:jc w:val="both"/>
        <w:rPr>
          <w:rFonts w:ascii="Palatino Linotype" w:hAnsi="Palatino Linotype"/>
          <w:b/>
          <w:sz w:val="22"/>
          <w:szCs w:val="22"/>
        </w:rPr>
      </w:pPr>
      <w:r w:rsidRPr="000E3A95">
        <w:rPr>
          <w:rFonts w:ascii="Palatino Linotype" w:hAnsi="Palatino Linotype"/>
          <w:b/>
          <w:sz w:val="22"/>
          <w:szCs w:val="22"/>
        </w:rPr>
        <w:t xml:space="preserve">IOSCO reviews member efforts to deter mis-selling of complex financial products </w:t>
      </w:r>
    </w:p>
    <w:p w:rsidR="00594C6C" w:rsidRDefault="00594C6C" w:rsidP="009271A2">
      <w:pPr>
        <w:tabs>
          <w:tab w:val="left" w:pos="8160"/>
        </w:tabs>
        <w:jc w:val="both"/>
      </w:pPr>
    </w:p>
    <w:p w:rsidR="001D68DB" w:rsidRPr="000E3A95" w:rsidRDefault="00594C6C" w:rsidP="009271A2">
      <w:pPr>
        <w:tabs>
          <w:tab w:val="left" w:pos="8160"/>
        </w:tabs>
        <w:jc w:val="both"/>
        <w:rPr>
          <w:rFonts w:ascii="Palatino Linotype" w:hAnsi="Palatino Linotype"/>
          <w:sz w:val="22"/>
          <w:szCs w:val="22"/>
        </w:rPr>
      </w:pPr>
      <w:r w:rsidRPr="000E3A95">
        <w:rPr>
          <w:rFonts w:ascii="Palatino Linotype" w:hAnsi="Palatino Linotype"/>
          <w:sz w:val="22"/>
          <w:szCs w:val="22"/>
        </w:rPr>
        <w:t xml:space="preserve">IOSCO published a Thematic Review report (Report) indicating that most of the participating jurisdictions have implemented the necessary rules aimed at preventing the misselling of complex financial products, consistent with IOSCO standards. The Thematic Review was conducted by the IOSCO Assessment Committee (AC), with the participation of 29 IOSCO members from both developed and emerging market jurisdictions. A Thematic Review offers a snapshot of implementation of IOSCO Principles, which enables the AC to identify gaps in implementation and examples of good practice. The AC reviewed implementation of the nine Principles set out in the 2013 IOSCO report Suitability Requirements with respect to the Distribution of Complex Financial Products. The nine Principles are aimed at promoting robust customer protection by preventing the misselling of complex financial products. The Principles focus on the application of suitability and related disclosure requirements to intermediary services, including selling, advising, recommending and managing discretionary accounts or portfolios, as well as the regulator’s role in supervision and enforcement. The Report includes several findings and observations from the Thematic Review, including for instance, that most jurisdictions have standards for how to treat customers fairly and for addressing conflicts of interest. In addition, the majority of jurisdictions require intermediaries to distinguish between complex and non-complex products despite the fact that what constitutes a complex financial product differs among jurisdictions. Notably, none of the participating jurisdictions reported having a suitability regime specifically for complex products. The Report </w:t>
      </w:r>
      <w:r w:rsidRPr="000E3A95">
        <w:rPr>
          <w:rFonts w:ascii="Palatino Linotype" w:hAnsi="Palatino Linotype"/>
          <w:sz w:val="22"/>
          <w:szCs w:val="22"/>
        </w:rPr>
        <w:lastRenderedPageBreak/>
        <w:t>found that with respect to customer classification, most jurisdictions allow intermediaries to classify certain types of customers as “non-retail” (or its equivalent), based on the nature of the entity or specified monetary thresholds alone. However, these practices do not consider the complexity and riskiness of different products, as required by the Principles. The review also found that FinTech developments related to digital advisors and online platforms have created new suitability-related challenges. In light of the findings and observations, the Report indicates that jurisdictions must have effective supervisory and enforcement mechanisms to support suitability regimes for complex products and to ensure that intermediaries take corrective action where their behavior falls short of supervisory or regulatory expectations. The Report also urges jurisdictions to consider enhancing disclosure requirements to help customers make informed investment decisions and understand the advice they receive from intermediaries. IOSCO will continue conducting other Thematic Reviews on topics that are relevant for achieving the organization’s objectives, including investor protection</w:t>
      </w:r>
    </w:p>
    <w:p w:rsidR="00594C6C" w:rsidRDefault="00594C6C" w:rsidP="009271A2">
      <w:pPr>
        <w:tabs>
          <w:tab w:val="left" w:pos="8160"/>
        </w:tabs>
        <w:jc w:val="both"/>
      </w:pPr>
    </w:p>
    <w:p w:rsidR="00594C6C" w:rsidRPr="000E3A95" w:rsidRDefault="00594C6C" w:rsidP="009271A2">
      <w:pPr>
        <w:tabs>
          <w:tab w:val="left" w:pos="8160"/>
        </w:tabs>
        <w:jc w:val="both"/>
        <w:rPr>
          <w:rFonts w:ascii="Palatino Linotype" w:hAnsi="Palatino Linotype"/>
          <w:b/>
          <w:sz w:val="20"/>
          <w:szCs w:val="20"/>
        </w:rPr>
      </w:pPr>
      <w:r w:rsidRPr="000E3A95">
        <w:rPr>
          <w:rFonts w:ascii="Palatino Linotype" w:hAnsi="Palatino Linotype"/>
          <w:b/>
          <w:sz w:val="20"/>
          <w:szCs w:val="20"/>
        </w:rPr>
        <w:t xml:space="preserve">Source: </w:t>
      </w:r>
      <w:hyperlink r:id="rId40" w:history="1">
        <w:r w:rsidRPr="000E3A95">
          <w:rPr>
            <w:rStyle w:val="Hyperlink"/>
            <w:rFonts w:ascii="Palatino Linotype" w:hAnsi="Palatino Linotype"/>
            <w:b/>
            <w:sz w:val="20"/>
            <w:szCs w:val="20"/>
          </w:rPr>
          <w:t>https://www.iosco.org/news/pdf/IOSCONEWS544.pdf</w:t>
        </w:r>
      </w:hyperlink>
    </w:p>
    <w:p w:rsidR="00594C6C" w:rsidRDefault="00594C6C" w:rsidP="009271A2">
      <w:pPr>
        <w:tabs>
          <w:tab w:val="left" w:pos="8160"/>
        </w:tabs>
        <w:jc w:val="both"/>
      </w:pPr>
    </w:p>
    <w:p w:rsidR="001D68DB" w:rsidRDefault="001D68DB" w:rsidP="009271A2">
      <w:pPr>
        <w:tabs>
          <w:tab w:val="left" w:pos="8160"/>
        </w:tabs>
        <w:jc w:val="both"/>
        <w:rPr>
          <w:rFonts w:ascii="Palatino Linotype" w:hAnsi="Palatino Linotype"/>
          <w:b/>
          <w:sz w:val="22"/>
          <w:szCs w:val="22"/>
        </w:rPr>
      </w:pPr>
    </w:p>
    <w:p w:rsidR="000E3A95" w:rsidRDefault="00594C6C" w:rsidP="000E3A95">
      <w:pPr>
        <w:pStyle w:val="ListParagraph"/>
        <w:numPr>
          <w:ilvl w:val="0"/>
          <w:numId w:val="42"/>
        </w:numPr>
        <w:tabs>
          <w:tab w:val="left" w:pos="8160"/>
        </w:tabs>
        <w:jc w:val="both"/>
        <w:rPr>
          <w:rFonts w:ascii="Palatino Linotype" w:hAnsi="Palatino Linotype"/>
          <w:b/>
          <w:sz w:val="22"/>
          <w:szCs w:val="22"/>
        </w:rPr>
      </w:pPr>
      <w:r>
        <w:rPr>
          <w:rFonts w:ascii="Palatino Linotype" w:hAnsi="Palatino Linotype"/>
          <w:b/>
          <w:sz w:val="22"/>
          <w:szCs w:val="22"/>
        </w:rPr>
        <w:t>Financial Services Commission (</w:t>
      </w:r>
      <w:r w:rsidRPr="00594C6C">
        <w:rPr>
          <w:rFonts w:ascii="Palatino Linotype" w:hAnsi="Palatino Linotype"/>
          <w:b/>
          <w:sz w:val="22"/>
          <w:szCs w:val="22"/>
        </w:rPr>
        <w:t>FSC</w:t>
      </w:r>
      <w:r>
        <w:rPr>
          <w:rFonts w:ascii="Palatino Linotype" w:hAnsi="Palatino Linotype"/>
          <w:b/>
          <w:sz w:val="22"/>
          <w:szCs w:val="22"/>
        </w:rPr>
        <w:t xml:space="preserve">) </w:t>
      </w:r>
      <w:r w:rsidR="000E3A95" w:rsidRPr="00594C6C">
        <w:rPr>
          <w:rFonts w:ascii="Palatino Linotype" w:hAnsi="Palatino Linotype"/>
          <w:b/>
          <w:sz w:val="22"/>
          <w:szCs w:val="22"/>
        </w:rPr>
        <w:t xml:space="preserve">proposes measures to boost Venture Capital Investment </w:t>
      </w:r>
    </w:p>
    <w:p w:rsidR="000E3A95" w:rsidRDefault="000E3A95" w:rsidP="009271A2">
      <w:pPr>
        <w:tabs>
          <w:tab w:val="left" w:pos="8160"/>
        </w:tabs>
        <w:jc w:val="both"/>
        <w:rPr>
          <w:rFonts w:ascii="Palatino Linotype" w:hAnsi="Palatino Linotype"/>
          <w:b/>
          <w:sz w:val="22"/>
          <w:szCs w:val="22"/>
        </w:rPr>
      </w:pPr>
    </w:p>
    <w:p w:rsidR="000E3A95" w:rsidRDefault="00594C6C" w:rsidP="009271A2">
      <w:pPr>
        <w:tabs>
          <w:tab w:val="left" w:pos="8160"/>
        </w:tabs>
        <w:jc w:val="both"/>
        <w:rPr>
          <w:rFonts w:ascii="Palatino Linotype" w:hAnsi="Palatino Linotype"/>
          <w:sz w:val="22"/>
          <w:szCs w:val="22"/>
        </w:rPr>
      </w:pPr>
      <w:r w:rsidRPr="000E3A95">
        <w:rPr>
          <w:rFonts w:ascii="Palatino Linotype" w:hAnsi="Palatino Linotype"/>
          <w:sz w:val="22"/>
          <w:szCs w:val="22"/>
        </w:rPr>
        <w:t>FSC unveiled measures to boost venture capital investment in innovative business at a meeting with executives from securities, asset management and venture capital companies. The measures include the introduction of a Business Development Company (BDC) and diversification of fund</w:t>
      </w:r>
      <w:r w:rsidR="000E3A95">
        <w:rPr>
          <w:rFonts w:ascii="Palatino Linotype" w:hAnsi="Palatino Linotype"/>
          <w:sz w:val="22"/>
          <w:szCs w:val="22"/>
        </w:rPr>
        <w:t xml:space="preserve"> </w:t>
      </w:r>
      <w:r w:rsidRPr="000E3A95">
        <w:rPr>
          <w:rFonts w:ascii="Palatino Linotype" w:hAnsi="Palatino Linotype"/>
          <w:sz w:val="22"/>
          <w:szCs w:val="22"/>
        </w:rPr>
        <w:t>raising</w:t>
      </w:r>
      <w:r w:rsidR="000E3A95">
        <w:rPr>
          <w:rFonts w:ascii="Palatino Linotype" w:hAnsi="Palatino Linotype"/>
          <w:sz w:val="22"/>
          <w:szCs w:val="22"/>
        </w:rPr>
        <w:t xml:space="preserve"> </w:t>
      </w:r>
      <w:r w:rsidRPr="000E3A95">
        <w:rPr>
          <w:rFonts w:ascii="Palatino Linotype" w:hAnsi="Palatino Linotype"/>
          <w:sz w:val="22"/>
          <w:szCs w:val="22"/>
        </w:rPr>
        <w:t>channels</w:t>
      </w:r>
      <w:r w:rsidR="000E3A95">
        <w:rPr>
          <w:rFonts w:ascii="Palatino Linotype" w:hAnsi="Palatino Linotype"/>
          <w:sz w:val="22"/>
          <w:szCs w:val="22"/>
        </w:rPr>
        <w:t xml:space="preserve"> </w:t>
      </w:r>
      <w:r w:rsidRPr="000E3A95">
        <w:rPr>
          <w:rFonts w:ascii="Palatino Linotype" w:hAnsi="Palatino Linotype"/>
          <w:sz w:val="22"/>
          <w:szCs w:val="22"/>
        </w:rPr>
        <w:t>with exclusive</w:t>
      </w:r>
      <w:r w:rsidR="000E3A95">
        <w:rPr>
          <w:rFonts w:ascii="Palatino Linotype" w:hAnsi="Palatino Linotype"/>
          <w:sz w:val="22"/>
          <w:szCs w:val="22"/>
        </w:rPr>
        <w:t xml:space="preserve"> </w:t>
      </w:r>
      <w:r w:rsidRPr="000E3A95">
        <w:rPr>
          <w:rFonts w:ascii="Palatino Linotype" w:hAnsi="Palatino Linotype"/>
          <w:sz w:val="22"/>
          <w:szCs w:val="22"/>
        </w:rPr>
        <w:t>private offerings for professional investors and small-scale</w:t>
      </w:r>
      <w:r w:rsidR="000E3A95">
        <w:rPr>
          <w:rFonts w:ascii="Palatino Linotype" w:hAnsi="Palatino Linotype"/>
          <w:sz w:val="22"/>
          <w:szCs w:val="22"/>
        </w:rPr>
        <w:t xml:space="preserve"> </w:t>
      </w:r>
      <w:r w:rsidRPr="000E3A95">
        <w:rPr>
          <w:rFonts w:ascii="Palatino Linotype" w:hAnsi="Palatino Linotype"/>
          <w:sz w:val="22"/>
          <w:szCs w:val="22"/>
        </w:rPr>
        <w:t xml:space="preserve">public offerings. </w:t>
      </w:r>
    </w:p>
    <w:p w:rsidR="000E3A95" w:rsidRDefault="000E3A95" w:rsidP="009271A2">
      <w:pPr>
        <w:tabs>
          <w:tab w:val="left" w:pos="8160"/>
        </w:tabs>
        <w:jc w:val="both"/>
        <w:rPr>
          <w:rFonts w:ascii="Palatino Linotype" w:hAnsi="Palatino Linotype"/>
          <w:sz w:val="22"/>
          <w:szCs w:val="22"/>
        </w:rPr>
      </w:pPr>
    </w:p>
    <w:p w:rsidR="000E3A95" w:rsidRDefault="000E3A95" w:rsidP="009271A2">
      <w:pPr>
        <w:tabs>
          <w:tab w:val="left" w:pos="8160"/>
        </w:tabs>
        <w:jc w:val="both"/>
        <w:rPr>
          <w:rFonts w:ascii="Palatino Linotype" w:hAnsi="Palatino Linotype"/>
          <w:sz w:val="22"/>
          <w:szCs w:val="22"/>
        </w:rPr>
      </w:pPr>
    </w:p>
    <w:p w:rsidR="000E3A95" w:rsidRDefault="00594C6C" w:rsidP="009271A2">
      <w:pPr>
        <w:tabs>
          <w:tab w:val="left" w:pos="8160"/>
        </w:tabs>
        <w:jc w:val="both"/>
        <w:rPr>
          <w:rFonts w:ascii="Palatino Linotype" w:hAnsi="Palatino Linotype"/>
          <w:sz w:val="22"/>
          <w:szCs w:val="22"/>
        </w:rPr>
      </w:pPr>
      <w:r w:rsidRPr="000E3A95">
        <w:rPr>
          <w:rFonts w:ascii="Palatino Linotype" w:hAnsi="Palatino Linotype"/>
          <w:sz w:val="22"/>
          <w:szCs w:val="22"/>
        </w:rPr>
        <w:t>Proposed Measures</w:t>
      </w:r>
    </w:p>
    <w:p w:rsidR="000E3A95" w:rsidRDefault="000E3A95" w:rsidP="009271A2">
      <w:pPr>
        <w:tabs>
          <w:tab w:val="left" w:pos="8160"/>
        </w:tabs>
        <w:jc w:val="both"/>
        <w:rPr>
          <w:rFonts w:ascii="Palatino Linotype" w:hAnsi="Palatino Linotype"/>
          <w:sz w:val="22"/>
          <w:szCs w:val="22"/>
        </w:rPr>
      </w:pPr>
    </w:p>
    <w:p w:rsidR="000E3A95" w:rsidRDefault="00594C6C" w:rsidP="009271A2">
      <w:pPr>
        <w:tabs>
          <w:tab w:val="left" w:pos="8160"/>
        </w:tabs>
        <w:jc w:val="both"/>
        <w:rPr>
          <w:rFonts w:ascii="Palatino Linotype" w:hAnsi="Palatino Linotype" w:cs="Palatino Linotype"/>
          <w:sz w:val="22"/>
          <w:szCs w:val="22"/>
        </w:rPr>
      </w:pPr>
      <w:r w:rsidRPr="000E3A95">
        <w:rPr>
          <w:rFonts w:ascii="Palatino Linotype" w:hAnsi="Palatino Linotype"/>
          <w:sz w:val="22"/>
          <w:szCs w:val="22"/>
        </w:rPr>
        <w:t>INTRODUCTION OF BUSINESS DEVELOPMENT COMPANY (BDC):</w:t>
      </w:r>
    </w:p>
    <w:p w:rsidR="000E3A95" w:rsidRDefault="000E3A95" w:rsidP="009271A2">
      <w:pPr>
        <w:tabs>
          <w:tab w:val="left" w:pos="8160"/>
        </w:tabs>
        <w:jc w:val="both"/>
        <w:rPr>
          <w:rFonts w:ascii="Palatino Linotype" w:hAnsi="Palatino Linotype" w:cs="Palatino Linotype"/>
          <w:sz w:val="22"/>
          <w:szCs w:val="22"/>
        </w:rPr>
      </w:pPr>
    </w:p>
    <w:p w:rsidR="000E3A95" w:rsidRDefault="00594C6C" w:rsidP="009271A2">
      <w:pPr>
        <w:tabs>
          <w:tab w:val="left" w:pos="8160"/>
        </w:tabs>
        <w:jc w:val="both"/>
        <w:rPr>
          <w:rFonts w:ascii="Palatino Linotype" w:hAnsi="Palatino Linotype"/>
          <w:sz w:val="22"/>
          <w:szCs w:val="22"/>
        </w:rPr>
      </w:pPr>
      <w:r w:rsidRPr="000E3A95">
        <w:rPr>
          <w:rFonts w:ascii="Palatino Linotype" w:hAnsi="Palatino Linotype"/>
          <w:sz w:val="22"/>
          <w:szCs w:val="22"/>
        </w:rPr>
        <w:t>Business Development Company</w:t>
      </w:r>
      <w:r w:rsidR="000E3A95">
        <w:rPr>
          <w:rFonts w:ascii="Palatino Linotype" w:hAnsi="Palatino Linotype"/>
          <w:sz w:val="22"/>
          <w:szCs w:val="22"/>
        </w:rPr>
        <w:t xml:space="preserve"> </w:t>
      </w:r>
      <w:r w:rsidRPr="000E3A95">
        <w:rPr>
          <w:rFonts w:ascii="Palatino Linotype" w:hAnsi="Palatino Linotype"/>
          <w:sz w:val="22"/>
          <w:szCs w:val="22"/>
        </w:rPr>
        <w:t xml:space="preserve">(BDC) is a collective investment vehicle which raises funds from investors to be listed on the KRX and then invest in unlisted companies. </w:t>
      </w:r>
    </w:p>
    <w:p w:rsidR="000E3A95" w:rsidRDefault="000E3A95" w:rsidP="009271A2">
      <w:pPr>
        <w:tabs>
          <w:tab w:val="left" w:pos="8160"/>
        </w:tabs>
        <w:jc w:val="both"/>
        <w:rPr>
          <w:rFonts w:ascii="Palatino Linotype" w:hAnsi="Palatino Linotype"/>
          <w:sz w:val="22"/>
          <w:szCs w:val="22"/>
        </w:rPr>
      </w:pPr>
    </w:p>
    <w:p w:rsidR="000E3A95" w:rsidRDefault="00594C6C" w:rsidP="009271A2">
      <w:pPr>
        <w:tabs>
          <w:tab w:val="left" w:pos="8160"/>
        </w:tabs>
        <w:jc w:val="both"/>
        <w:rPr>
          <w:rFonts w:ascii="Palatino Linotype" w:hAnsi="Palatino Linotype"/>
          <w:sz w:val="22"/>
          <w:szCs w:val="22"/>
        </w:rPr>
      </w:pPr>
      <w:r w:rsidRPr="000E3A95">
        <w:rPr>
          <w:rFonts w:ascii="Palatino Linotype" w:hAnsi="Palatino Linotype"/>
          <w:sz w:val="22"/>
          <w:szCs w:val="22"/>
        </w:rPr>
        <w:t>The BCD is required to invest more than 60</w:t>
      </w:r>
      <w:r w:rsidR="000E3A95">
        <w:rPr>
          <w:rFonts w:ascii="Palatino Linotype" w:hAnsi="Palatino Linotype"/>
          <w:sz w:val="22"/>
          <w:szCs w:val="22"/>
        </w:rPr>
        <w:t xml:space="preserve"> per cent</w:t>
      </w:r>
      <w:r w:rsidRPr="000E3A95">
        <w:rPr>
          <w:rFonts w:ascii="Palatino Linotype" w:hAnsi="Palatino Linotype"/>
          <w:sz w:val="22"/>
          <w:szCs w:val="22"/>
        </w:rPr>
        <w:t xml:space="preserve"> of its total assets in unlisted, KONEX-listed, KOSDAQ-listed companies (whose market capitalization of less than KRW200 billion) or SME &amp; venture</w:t>
      </w:r>
      <w:r w:rsidR="000E3A95">
        <w:rPr>
          <w:rFonts w:ascii="Palatino Linotype" w:hAnsi="Palatino Linotype"/>
          <w:sz w:val="22"/>
          <w:szCs w:val="22"/>
        </w:rPr>
        <w:t xml:space="preserve"> </w:t>
      </w:r>
      <w:r w:rsidRPr="000E3A95">
        <w:rPr>
          <w:rFonts w:ascii="Palatino Linotype" w:hAnsi="Palatino Linotype"/>
          <w:sz w:val="22"/>
          <w:szCs w:val="22"/>
        </w:rPr>
        <w:t xml:space="preserve">investment funds. </w:t>
      </w:r>
    </w:p>
    <w:p w:rsidR="000E3A95" w:rsidRDefault="000E3A95" w:rsidP="009271A2">
      <w:pPr>
        <w:tabs>
          <w:tab w:val="left" w:pos="8160"/>
        </w:tabs>
        <w:jc w:val="both"/>
        <w:rPr>
          <w:rFonts w:ascii="Palatino Linotype" w:hAnsi="Palatino Linotype"/>
          <w:sz w:val="22"/>
          <w:szCs w:val="22"/>
        </w:rPr>
      </w:pPr>
    </w:p>
    <w:p w:rsidR="000E3A95" w:rsidRDefault="00594C6C" w:rsidP="009271A2">
      <w:pPr>
        <w:tabs>
          <w:tab w:val="left" w:pos="8160"/>
        </w:tabs>
        <w:jc w:val="both"/>
        <w:rPr>
          <w:rFonts w:ascii="Palatino Linotype" w:hAnsi="Palatino Linotype"/>
          <w:sz w:val="22"/>
          <w:szCs w:val="22"/>
        </w:rPr>
      </w:pPr>
      <w:r w:rsidRPr="000E3A95">
        <w:rPr>
          <w:rFonts w:ascii="Palatino Linotype" w:hAnsi="Palatino Linotype"/>
          <w:sz w:val="22"/>
          <w:szCs w:val="22"/>
        </w:rPr>
        <w:t xml:space="preserve">Securities, asset management and venture capital companies that meet certain requirements1will be granted a license to operate a BDC. </w:t>
      </w:r>
    </w:p>
    <w:p w:rsidR="000E3A95" w:rsidRDefault="000E3A95" w:rsidP="009271A2">
      <w:pPr>
        <w:tabs>
          <w:tab w:val="left" w:pos="8160"/>
        </w:tabs>
        <w:jc w:val="both"/>
        <w:rPr>
          <w:rFonts w:ascii="Palatino Linotype" w:hAnsi="Palatino Linotype"/>
          <w:sz w:val="22"/>
          <w:szCs w:val="22"/>
        </w:rPr>
      </w:pPr>
    </w:p>
    <w:p w:rsidR="000E3A95" w:rsidRDefault="000E3A95" w:rsidP="009271A2">
      <w:pPr>
        <w:tabs>
          <w:tab w:val="left" w:pos="8160"/>
        </w:tabs>
        <w:jc w:val="both"/>
        <w:rPr>
          <w:rFonts w:ascii="Palatino Linotype" w:hAnsi="Palatino Linotype"/>
          <w:sz w:val="22"/>
          <w:szCs w:val="22"/>
        </w:rPr>
      </w:pPr>
      <w:r>
        <w:rPr>
          <w:rFonts w:ascii="Palatino Linotype" w:hAnsi="Palatino Linotype"/>
          <w:sz w:val="22"/>
          <w:szCs w:val="22"/>
        </w:rPr>
        <w:t xml:space="preserve">The </w:t>
      </w:r>
      <w:r w:rsidR="00594C6C" w:rsidRPr="000E3A95">
        <w:rPr>
          <w:rFonts w:ascii="Palatino Linotype" w:hAnsi="Palatino Linotype"/>
          <w:sz w:val="22"/>
          <w:szCs w:val="22"/>
        </w:rPr>
        <w:t>minimum capital of KRW20 billion is required to establish a BDC. The operator of a BDC</w:t>
      </w:r>
      <w:r w:rsidR="00FE369E">
        <w:rPr>
          <w:rFonts w:ascii="Palatino Linotype" w:hAnsi="Palatino Linotype"/>
          <w:sz w:val="22"/>
          <w:szCs w:val="22"/>
        </w:rPr>
        <w:t xml:space="preserve"> </w:t>
      </w:r>
      <w:r w:rsidR="00594C6C" w:rsidRPr="000E3A95">
        <w:rPr>
          <w:rFonts w:ascii="Palatino Linotype" w:hAnsi="Palatino Linotype"/>
          <w:sz w:val="22"/>
          <w:szCs w:val="22"/>
        </w:rPr>
        <w:t>is required to hold</w:t>
      </w:r>
      <w:r w:rsidR="00FE369E">
        <w:rPr>
          <w:rFonts w:ascii="Palatino Linotype" w:hAnsi="Palatino Linotype"/>
          <w:sz w:val="22"/>
          <w:szCs w:val="22"/>
        </w:rPr>
        <w:t xml:space="preserve"> </w:t>
      </w:r>
      <w:r w:rsidR="00594C6C" w:rsidRPr="000E3A95">
        <w:rPr>
          <w:rFonts w:ascii="Palatino Linotype" w:hAnsi="Palatino Linotype"/>
          <w:sz w:val="22"/>
          <w:szCs w:val="22"/>
        </w:rPr>
        <w:t>5</w:t>
      </w:r>
      <w:r w:rsidR="00FE369E">
        <w:rPr>
          <w:rFonts w:ascii="Palatino Linotype" w:hAnsi="Palatino Linotype"/>
          <w:sz w:val="22"/>
          <w:szCs w:val="22"/>
        </w:rPr>
        <w:t xml:space="preserve"> per cent</w:t>
      </w:r>
      <w:r w:rsidR="00594C6C" w:rsidRPr="000E3A95">
        <w:rPr>
          <w:rFonts w:ascii="Palatino Linotype" w:hAnsi="Palatino Linotype"/>
          <w:sz w:val="22"/>
          <w:szCs w:val="22"/>
        </w:rPr>
        <w:t xml:space="preserve"> or more of its total equity investment. </w:t>
      </w:r>
    </w:p>
    <w:p w:rsidR="000E3A95" w:rsidRDefault="000E3A95" w:rsidP="009271A2">
      <w:pPr>
        <w:tabs>
          <w:tab w:val="left" w:pos="8160"/>
        </w:tabs>
        <w:jc w:val="both"/>
        <w:rPr>
          <w:rFonts w:ascii="Palatino Linotype" w:hAnsi="Palatino Linotype"/>
          <w:sz w:val="22"/>
          <w:szCs w:val="22"/>
        </w:rPr>
      </w:pPr>
    </w:p>
    <w:p w:rsidR="000E3A95" w:rsidRDefault="00594C6C" w:rsidP="009271A2">
      <w:pPr>
        <w:tabs>
          <w:tab w:val="left" w:pos="8160"/>
        </w:tabs>
        <w:jc w:val="both"/>
        <w:rPr>
          <w:rFonts w:ascii="Palatino Linotype" w:hAnsi="Palatino Linotype"/>
          <w:sz w:val="22"/>
          <w:szCs w:val="22"/>
        </w:rPr>
      </w:pPr>
      <w:r w:rsidRPr="000E3A95">
        <w:rPr>
          <w:rFonts w:ascii="Palatino Linotype" w:hAnsi="Palatino Linotype"/>
          <w:sz w:val="22"/>
          <w:szCs w:val="22"/>
        </w:rPr>
        <w:t>The BDC</w:t>
      </w:r>
      <w:r w:rsidR="000E3A95">
        <w:rPr>
          <w:rFonts w:ascii="Palatino Linotype" w:hAnsi="Palatino Linotype"/>
          <w:sz w:val="22"/>
          <w:szCs w:val="22"/>
        </w:rPr>
        <w:t xml:space="preserve"> </w:t>
      </w:r>
      <w:r w:rsidRPr="000E3A95">
        <w:rPr>
          <w:rFonts w:ascii="Palatino Linotype" w:hAnsi="Palatino Linotype"/>
          <w:sz w:val="22"/>
          <w:szCs w:val="22"/>
        </w:rPr>
        <w:t>is allowed to leverage up to 100</w:t>
      </w:r>
      <w:r w:rsidR="00FE369E">
        <w:rPr>
          <w:rFonts w:ascii="Palatino Linotype" w:hAnsi="Palatino Linotype"/>
          <w:sz w:val="22"/>
          <w:szCs w:val="22"/>
        </w:rPr>
        <w:t xml:space="preserve"> per cent</w:t>
      </w:r>
      <w:r w:rsidRPr="000E3A95">
        <w:rPr>
          <w:rFonts w:ascii="Palatino Linotype" w:hAnsi="Palatino Linotype"/>
          <w:sz w:val="22"/>
          <w:szCs w:val="22"/>
        </w:rPr>
        <w:t xml:space="preserve"> of its net assets, increase capital and provide management advisory services.</w:t>
      </w:r>
    </w:p>
    <w:p w:rsidR="000E3A95" w:rsidRDefault="000E3A95" w:rsidP="009271A2">
      <w:pPr>
        <w:tabs>
          <w:tab w:val="left" w:pos="8160"/>
        </w:tabs>
        <w:jc w:val="both"/>
        <w:rPr>
          <w:rFonts w:ascii="Palatino Linotype" w:hAnsi="Palatino Linotype"/>
          <w:sz w:val="22"/>
          <w:szCs w:val="22"/>
        </w:rPr>
      </w:pPr>
    </w:p>
    <w:p w:rsidR="000E3A95" w:rsidRDefault="00594C6C" w:rsidP="009271A2">
      <w:pPr>
        <w:tabs>
          <w:tab w:val="left" w:pos="8160"/>
        </w:tabs>
        <w:jc w:val="both"/>
        <w:rPr>
          <w:rFonts w:ascii="Palatino Linotype" w:hAnsi="Palatino Linotype"/>
          <w:sz w:val="22"/>
          <w:szCs w:val="22"/>
        </w:rPr>
      </w:pPr>
      <w:r w:rsidRPr="000E3A95">
        <w:rPr>
          <w:rFonts w:ascii="Palatino Linotype" w:hAnsi="Palatino Linotype"/>
          <w:sz w:val="22"/>
          <w:szCs w:val="22"/>
        </w:rPr>
        <w:t>DIVERSIFICATION OF FUNDRAISING CHANNELS:</w:t>
      </w:r>
    </w:p>
    <w:p w:rsidR="000E3A95" w:rsidRDefault="000E3A95" w:rsidP="009271A2">
      <w:pPr>
        <w:tabs>
          <w:tab w:val="left" w:pos="8160"/>
        </w:tabs>
        <w:jc w:val="both"/>
        <w:rPr>
          <w:rFonts w:ascii="Palatino Linotype" w:hAnsi="Palatino Linotype"/>
          <w:sz w:val="22"/>
          <w:szCs w:val="22"/>
        </w:rPr>
      </w:pPr>
    </w:p>
    <w:p w:rsidR="000E3A95" w:rsidRDefault="00594C6C" w:rsidP="009271A2">
      <w:pPr>
        <w:tabs>
          <w:tab w:val="left" w:pos="8160"/>
        </w:tabs>
        <w:jc w:val="both"/>
        <w:rPr>
          <w:rFonts w:ascii="Palatino Linotype" w:hAnsi="Palatino Linotype"/>
          <w:sz w:val="22"/>
          <w:szCs w:val="22"/>
        </w:rPr>
      </w:pPr>
      <w:r w:rsidRPr="000E3A95">
        <w:rPr>
          <w:rFonts w:ascii="Palatino Linotype" w:hAnsi="Palatino Linotype"/>
          <w:sz w:val="22"/>
          <w:szCs w:val="22"/>
        </w:rPr>
        <w:t>Private offering channels will be expanded</w:t>
      </w:r>
      <w:r w:rsidR="000E3A95">
        <w:rPr>
          <w:rFonts w:ascii="Palatino Linotype" w:hAnsi="Palatino Linotype"/>
          <w:sz w:val="22"/>
          <w:szCs w:val="22"/>
        </w:rPr>
        <w:t xml:space="preserve"> </w:t>
      </w:r>
      <w:r w:rsidRPr="000E3A95">
        <w:rPr>
          <w:rFonts w:ascii="Palatino Linotype" w:hAnsi="Palatino Linotype"/>
          <w:sz w:val="22"/>
          <w:szCs w:val="22"/>
        </w:rPr>
        <w:t>with a new track</w:t>
      </w:r>
      <w:r w:rsidR="000E3A95">
        <w:rPr>
          <w:rFonts w:ascii="Palatino Linotype" w:hAnsi="Palatino Linotype"/>
          <w:sz w:val="22"/>
          <w:szCs w:val="22"/>
        </w:rPr>
        <w:t xml:space="preserve"> </w:t>
      </w:r>
      <w:r w:rsidRPr="000E3A95">
        <w:rPr>
          <w:rFonts w:ascii="Palatino Linotype" w:hAnsi="Palatino Linotype"/>
          <w:sz w:val="22"/>
          <w:szCs w:val="22"/>
        </w:rPr>
        <w:t>exclusive</w:t>
      </w:r>
      <w:r w:rsidR="000E3A95">
        <w:rPr>
          <w:rFonts w:ascii="Palatino Linotype" w:hAnsi="Palatino Linotype"/>
          <w:sz w:val="22"/>
          <w:szCs w:val="22"/>
        </w:rPr>
        <w:t xml:space="preserve"> </w:t>
      </w:r>
      <w:r w:rsidRPr="000E3A95">
        <w:rPr>
          <w:rFonts w:ascii="Palatino Linotype" w:hAnsi="Palatino Linotype"/>
          <w:sz w:val="22"/>
          <w:szCs w:val="22"/>
        </w:rPr>
        <w:t>for professional investors, which allows to attract subscribers</w:t>
      </w:r>
      <w:r w:rsidR="000E3A95">
        <w:rPr>
          <w:rFonts w:ascii="Palatino Linotype" w:hAnsi="Palatino Linotype"/>
          <w:sz w:val="22"/>
          <w:szCs w:val="22"/>
        </w:rPr>
        <w:t xml:space="preserve"> </w:t>
      </w:r>
      <w:r w:rsidRPr="000E3A95">
        <w:rPr>
          <w:rFonts w:ascii="Palatino Linotype" w:hAnsi="Palatino Linotype"/>
          <w:sz w:val="22"/>
          <w:szCs w:val="22"/>
        </w:rPr>
        <w:t>through public recommendation and general advertisement.</w:t>
      </w:r>
    </w:p>
    <w:p w:rsidR="000E3A95" w:rsidRDefault="000E3A95" w:rsidP="009271A2">
      <w:pPr>
        <w:tabs>
          <w:tab w:val="left" w:pos="8160"/>
        </w:tabs>
        <w:jc w:val="both"/>
        <w:rPr>
          <w:rFonts w:ascii="Palatino Linotype" w:hAnsi="Palatino Linotype"/>
          <w:sz w:val="22"/>
          <w:szCs w:val="22"/>
        </w:rPr>
      </w:pPr>
    </w:p>
    <w:p w:rsidR="00A36D05" w:rsidRPr="000E3A95" w:rsidRDefault="00594C6C" w:rsidP="009271A2">
      <w:pPr>
        <w:tabs>
          <w:tab w:val="left" w:pos="8160"/>
        </w:tabs>
        <w:jc w:val="both"/>
        <w:rPr>
          <w:rFonts w:ascii="Palatino Linotype" w:hAnsi="Palatino Linotype"/>
          <w:sz w:val="22"/>
          <w:szCs w:val="22"/>
        </w:rPr>
      </w:pPr>
      <w:r w:rsidRPr="000E3A95">
        <w:rPr>
          <w:rFonts w:ascii="Palatino Linotype" w:hAnsi="Palatino Linotype"/>
          <w:sz w:val="22"/>
          <w:szCs w:val="22"/>
        </w:rPr>
        <w:lastRenderedPageBreak/>
        <w:t>The maximum amount of fundraising via a small public offering, currently KRW1 billion, will be increased</w:t>
      </w:r>
      <w:r w:rsidR="000E3A95">
        <w:rPr>
          <w:rFonts w:ascii="Palatino Linotype" w:hAnsi="Palatino Linotype"/>
          <w:sz w:val="22"/>
          <w:szCs w:val="22"/>
        </w:rPr>
        <w:t xml:space="preserve"> </w:t>
      </w:r>
      <w:r w:rsidRPr="000E3A95">
        <w:rPr>
          <w:rFonts w:ascii="Palatino Linotype" w:hAnsi="Palatino Linotype"/>
          <w:sz w:val="22"/>
          <w:szCs w:val="22"/>
        </w:rPr>
        <w:t xml:space="preserve">to KRW3 billion in Tier 1 and KRW10 billion in Tier 2.For Tier 2, additional investor protection measures will be required (e.g. investment cap for general investors, reporting and public disclosure requirements, etc. ) </w:t>
      </w:r>
    </w:p>
    <w:p w:rsidR="00594C6C" w:rsidRPr="000E3A95" w:rsidRDefault="00594C6C" w:rsidP="009271A2">
      <w:pPr>
        <w:tabs>
          <w:tab w:val="left" w:pos="8160"/>
        </w:tabs>
        <w:jc w:val="both"/>
        <w:rPr>
          <w:rFonts w:ascii="Palatino Linotype" w:hAnsi="Palatino Linotype"/>
          <w:sz w:val="22"/>
          <w:szCs w:val="22"/>
        </w:rPr>
      </w:pPr>
    </w:p>
    <w:p w:rsidR="00A36D05" w:rsidRDefault="00A36D05" w:rsidP="009271A2">
      <w:pPr>
        <w:tabs>
          <w:tab w:val="left" w:pos="8160"/>
        </w:tabs>
        <w:jc w:val="both"/>
        <w:rPr>
          <w:rFonts w:ascii="Palatino Linotype" w:hAnsi="Palatino Linotype"/>
          <w:b/>
          <w:sz w:val="22"/>
          <w:szCs w:val="22"/>
        </w:rPr>
      </w:pPr>
    </w:p>
    <w:p w:rsidR="00A36D05" w:rsidRPr="00FE369E" w:rsidRDefault="00FE369E" w:rsidP="009271A2">
      <w:pPr>
        <w:tabs>
          <w:tab w:val="left" w:pos="8160"/>
        </w:tabs>
        <w:jc w:val="both"/>
        <w:rPr>
          <w:rFonts w:ascii="Palatino Linotype" w:hAnsi="Palatino Linotype"/>
          <w:b/>
          <w:sz w:val="18"/>
          <w:szCs w:val="18"/>
        </w:rPr>
      </w:pPr>
      <w:r w:rsidRPr="00FE369E">
        <w:rPr>
          <w:rFonts w:ascii="Palatino Linotype" w:hAnsi="Palatino Linotype"/>
          <w:b/>
          <w:sz w:val="18"/>
          <w:szCs w:val="18"/>
        </w:rPr>
        <w:t>Source: http://meng.fsc.go.kr/common/pdfjs/web/viewer.html?file=/upload/press1/20190927154810_82e66f99.pdf</w:t>
      </w:r>
    </w:p>
    <w:p w:rsidR="00A36D05" w:rsidRDefault="00A36D05" w:rsidP="009271A2">
      <w:pPr>
        <w:tabs>
          <w:tab w:val="left" w:pos="8160"/>
        </w:tabs>
        <w:jc w:val="both"/>
        <w:rPr>
          <w:rFonts w:ascii="Palatino Linotype" w:hAnsi="Palatino Linotype"/>
          <w:b/>
          <w:sz w:val="22"/>
          <w:szCs w:val="22"/>
        </w:rPr>
      </w:pPr>
    </w:p>
    <w:p w:rsidR="00A36D05" w:rsidRDefault="00A36D05" w:rsidP="009271A2">
      <w:pPr>
        <w:tabs>
          <w:tab w:val="left" w:pos="8160"/>
        </w:tabs>
        <w:jc w:val="both"/>
        <w:rPr>
          <w:rFonts w:ascii="Palatino Linotype" w:hAnsi="Palatino Linotype"/>
          <w:b/>
          <w:sz w:val="22"/>
          <w:szCs w:val="22"/>
        </w:rPr>
      </w:pPr>
    </w:p>
    <w:p w:rsidR="00A36D05" w:rsidRDefault="00FE369E" w:rsidP="00FE369E">
      <w:pPr>
        <w:pStyle w:val="ListParagraph"/>
        <w:numPr>
          <w:ilvl w:val="0"/>
          <w:numId w:val="42"/>
        </w:numPr>
        <w:tabs>
          <w:tab w:val="left" w:pos="8160"/>
        </w:tabs>
        <w:jc w:val="both"/>
        <w:rPr>
          <w:rFonts w:ascii="Palatino Linotype" w:hAnsi="Palatino Linotype"/>
          <w:b/>
          <w:sz w:val="22"/>
          <w:szCs w:val="22"/>
        </w:rPr>
      </w:pPr>
      <w:r w:rsidRPr="00FE369E">
        <w:rPr>
          <w:rFonts w:ascii="Palatino Linotype" w:hAnsi="Palatino Linotype"/>
          <w:b/>
          <w:sz w:val="22"/>
          <w:szCs w:val="22"/>
        </w:rPr>
        <w:t>CFTC Charges Former Floor Broker with Misappropriating Client Funds, Registration Violations, and Making False Statements</w:t>
      </w:r>
    </w:p>
    <w:p w:rsidR="00A36D05" w:rsidRDefault="00A36D05" w:rsidP="009271A2">
      <w:pPr>
        <w:tabs>
          <w:tab w:val="left" w:pos="8160"/>
        </w:tabs>
        <w:jc w:val="both"/>
        <w:rPr>
          <w:rFonts w:ascii="Palatino Linotype" w:hAnsi="Palatino Linotype"/>
          <w:b/>
          <w:sz w:val="22"/>
          <w:szCs w:val="22"/>
        </w:rPr>
      </w:pPr>
    </w:p>
    <w:p w:rsidR="00FE369E" w:rsidRPr="00FE369E" w:rsidRDefault="00FE369E" w:rsidP="00FE369E">
      <w:pPr>
        <w:tabs>
          <w:tab w:val="left" w:pos="8160"/>
        </w:tabs>
        <w:jc w:val="both"/>
        <w:rPr>
          <w:rFonts w:ascii="Palatino Linotype" w:hAnsi="Palatino Linotype"/>
          <w:sz w:val="22"/>
          <w:szCs w:val="22"/>
        </w:rPr>
      </w:pPr>
      <w:r w:rsidRPr="00FE369E">
        <w:rPr>
          <w:rFonts w:ascii="Palatino Linotype" w:hAnsi="Palatino Linotype"/>
          <w:sz w:val="22"/>
          <w:szCs w:val="22"/>
        </w:rPr>
        <w:t>The U.S. Commodity Futures Trading Commission issued an order filing and settling charges against Coby Tresner of Andover, Kansas, for failing to register with the CFTC as an associated person and as a commodity trading advisor as required, misappropriating client funds, and making false or misleading statements to the CFTC during its investigation into his misconduct.</w:t>
      </w:r>
    </w:p>
    <w:p w:rsidR="00FE369E" w:rsidRPr="00FE369E" w:rsidRDefault="00FE369E" w:rsidP="00FE369E">
      <w:pPr>
        <w:tabs>
          <w:tab w:val="left" w:pos="8160"/>
        </w:tabs>
        <w:jc w:val="both"/>
        <w:rPr>
          <w:rFonts w:ascii="Palatino Linotype" w:hAnsi="Palatino Linotype"/>
          <w:sz w:val="22"/>
          <w:szCs w:val="22"/>
        </w:rPr>
      </w:pPr>
    </w:p>
    <w:p w:rsidR="00FE369E" w:rsidRPr="00FE369E" w:rsidRDefault="00FE369E" w:rsidP="00FE369E">
      <w:pPr>
        <w:tabs>
          <w:tab w:val="left" w:pos="8160"/>
        </w:tabs>
        <w:jc w:val="both"/>
        <w:rPr>
          <w:rFonts w:ascii="Palatino Linotype" w:hAnsi="Palatino Linotype"/>
          <w:sz w:val="22"/>
          <w:szCs w:val="22"/>
        </w:rPr>
      </w:pPr>
      <w:r w:rsidRPr="00FE369E">
        <w:rPr>
          <w:rFonts w:ascii="Palatino Linotype" w:hAnsi="Palatino Linotype"/>
          <w:sz w:val="22"/>
          <w:szCs w:val="22"/>
        </w:rPr>
        <w:t>The order requires Tresner to pay a $250,000 civil monetary penalty to the CFTC as well as restitution to clients whose funds he misappropriated.  The order also permanently bans Tresner from trading on or subject to the rules of any CFTC-registered exchange or other CFTC-registered entity.  In addition, the order permanently prohibits Tresner from entering into any transactions involving commodity interests, on behalf of himself or others, and from applying for registration with the CFTC, among other prohibitions.</w:t>
      </w:r>
    </w:p>
    <w:p w:rsidR="00FE369E" w:rsidRPr="00FE369E" w:rsidRDefault="00FE369E" w:rsidP="00FE369E">
      <w:pPr>
        <w:tabs>
          <w:tab w:val="left" w:pos="8160"/>
        </w:tabs>
        <w:jc w:val="both"/>
        <w:rPr>
          <w:rFonts w:ascii="Palatino Linotype" w:hAnsi="Palatino Linotype"/>
          <w:sz w:val="22"/>
          <w:szCs w:val="22"/>
        </w:rPr>
      </w:pPr>
    </w:p>
    <w:p w:rsidR="00FE369E" w:rsidRPr="00FE369E" w:rsidRDefault="00FE369E" w:rsidP="00FE369E">
      <w:pPr>
        <w:tabs>
          <w:tab w:val="left" w:pos="8160"/>
        </w:tabs>
        <w:jc w:val="both"/>
        <w:rPr>
          <w:rFonts w:ascii="Palatino Linotype" w:hAnsi="Palatino Linotype"/>
          <w:sz w:val="22"/>
          <w:szCs w:val="22"/>
        </w:rPr>
      </w:pPr>
      <w:r w:rsidRPr="00FE369E">
        <w:rPr>
          <w:rFonts w:ascii="Palatino Linotype" w:hAnsi="Palatino Linotype"/>
          <w:sz w:val="22"/>
          <w:szCs w:val="22"/>
        </w:rPr>
        <w:t>The order covers Tresner’s conduct during various periods of time between December 2014 and July 2018.  The order finds that Tresner solicited and received funds from clients to trade cattle futures on their behalf, but instead of using the funds for trading, Tresner misappropriated the funds and used them to pay personal debts and living expenses.</w:t>
      </w:r>
    </w:p>
    <w:p w:rsidR="00FE369E" w:rsidRPr="00FE369E" w:rsidRDefault="00FE369E" w:rsidP="00FE369E">
      <w:pPr>
        <w:tabs>
          <w:tab w:val="left" w:pos="8160"/>
        </w:tabs>
        <w:jc w:val="both"/>
        <w:rPr>
          <w:rFonts w:ascii="Palatino Linotype" w:hAnsi="Palatino Linotype"/>
          <w:sz w:val="22"/>
          <w:szCs w:val="22"/>
        </w:rPr>
      </w:pPr>
    </w:p>
    <w:p w:rsidR="00FE369E" w:rsidRPr="00FE369E" w:rsidRDefault="00FE369E" w:rsidP="00FE369E">
      <w:pPr>
        <w:tabs>
          <w:tab w:val="left" w:pos="8160"/>
        </w:tabs>
        <w:jc w:val="both"/>
        <w:rPr>
          <w:rFonts w:ascii="Palatino Linotype" w:hAnsi="Palatino Linotype"/>
          <w:sz w:val="22"/>
          <w:szCs w:val="22"/>
        </w:rPr>
      </w:pPr>
      <w:r w:rsidRPr="00FE369E">
        <w:rPr>
          <w:rFonts w:ascii="Palatino Linotype" w:hAnsi="Palatino Linotype"/>
          <w:sz w:val="22"/>
          <w:szCs w:val="22"/>
        </w:rPr>
        <w:t>The order also finds that Tresner solicited and accepted orders for futures contracts from customers of a registered introducing broker when he was not registered as required with the CFTC as an associated person of that firm or as a floor broker.  The order further states that Tresner acted, and held himself out to the public, as a commodity trading advisor when he was not registered as such with the Commission.</w:t>
      </w:r>
    </w:p>
    <w:p w:rsidR="00FE369E" w:rsidRPr="00FE369E" w:rsidRDefault="00FE369E" w:rsidP="00FE369E">
      <w:pPr>
        <w:tabs>
          <w:tab w:val="left" w:pos="8160"/>
        </w:tabs>
        <w:jc w:val="both"/>
        <w:rPr>
          <w:rFonts w:ascii="Palatino Linotype" w:hAnsi="Palatino Linotype"/>
          <w:sz w:val="22"/>
          <w:szCs w:val="22"/>
        </w:rPr>
      </w:pPr>
    </w:p>
    <w:p w:rsidR="006446D3" w:rsidRPr="00FE369E" w:rsidRDefault="00FE369E" w:rsidP="00FE369E">
      <w:pPr>
        <w:tabs>
          <w:tab w:val="left" w:pos="8160"/>
        </w:tabs>
        <w:jc w:val="both"/>
        <w:rPr>
          <w:rFonts w:ascii="Palatino Linotype" w:hAnsi="Palatino Linotype"/>
          <w:sz w:val="22"/>
          <w:szCs w:val="22"/>
        </w:rPr>
      </w:pPr>
      <w:r w:rsidRPr="00FE369E">
        <w:rPr>
          <w:rFonts w:ascii="Palatino Linotype" w:hAnsi="Palatino Linotype"/>
          <w:sz w:val="22"/>
          <w:szCs w:val="22"/>
        </w:rPr>
        <w:t>Finally, the order finds that Tresner, in response to a subpoena and in an interview, knowingly provided misleading information to CFTC staff by failing to identify all persons or entities from whom he had obtained funds to trade cattle futures.</w:t>
      </w:r>
    </w:p>
    <w:p w:rsidR="00FE369E" w:rsidRPr="00FE369E" w:rsidRDefault="00FE369E" w:rsidP="00FE369E">
      <w:pPr>
        <w:tabs>
          <w:tab w:val="left" w:pos="8160"/>
        </w:tabs>
        <w:jc w:val="both"/>
        <w:rPr>
          <w:rFonts w:ascii="Palatino Linotype" w:hAnsi="Palatino Linotype"/>
          <w:sz w:val="22"/>
          <w:szCs w:val="22"/>
        </w:rPr>
      </w:pPr>
    </w:p>
    <w:p w:rsidR="00FE369E" w:rsidRPr="00FE369E" w:rsidRDefault="00FE369E" w:rsidP="00FE369E">
      <w:pPr>
        <w:tabs>
          <w:tab w:val="left" w:pos="8160"/>
        </w:tabs>
        <w:jc w:val="both"/>
        <w:rPr>
          <w:rFonts w:ascii="Palatino Linotype" w:hAnsi="Palatino Linotype"/>
          <w:b/>
          <w:sz w:val="18"/>
          <w:szCs w:val="18"/>
        </w:rPr>
      </w:pPr>
      <w:r w:rsidRPr="00FE369E">
        <w:rPr>
          <w:rFonts w:ascii="Palatino Linotype" w:hAnsi="Palatino Linotype"/>
          <w:b/>
          <w:sz w:val="18"/>
          <w:szCs w:val="18"/>
        </w:rPr>
        <w:t xml:space="preserve">Source: </w:t>
      </w:r>
      <w:hyperlink r:id="rId41" w:history="1">
        <w:r w:rsidRPr="00FE369E">
          <w:rPr>
            <w:rStyle w:val="Hyperlink"/>
            <w:rFonts w:ascii="Palatino Linotype" w:hAnsi="Palatino Linotype"/>
            <w:b/>
            <w:sz w:val="18"/>
            <w:szCs w:val="18"/>
          </w:rPr>
          <w:t>https://www.cftc.gov/PressRoom/PressReleases/8027-19</w:t>
        </w:r>
      </w:hyperlink>
    </w:p>
    <w:p w:rsidR="006446D3" w:rsidRDefault="006446D3" w:rsidP="009271A2">
      <w:pPr>
        <w:tabs>
          <w:tab w:val="left" w:pos="8160"/>
        </w:tabs>
        <w:jc w:val="both"/>
        <w:rPr>
          <w:rFonts w:ascii="Palatino Linotype" w:hAnsi="Palatino Linotype"/>
          <w:b/>
          <w:sz w:val="22"/>
          <w:szCs w:val="22"/>
        </w:rPr>
      </w:pPr>
    </w:p>
    <w:p w:rsidR="006446D3" w:rsidRDefault="006446D3" w:rsidP="009271A2">
      <w:pPr>
        <w:tabs>
          <w:tab w:val="left" w:pos="8160"/>
        </w:tabs>
        <w:jc w:val="both"/>
        <w:rPr>
          <w:rFonts w:ascii="Palatino Linotype" w:hAnsi="Palatino Linotype"/>
          <w:b/>
          <w:sz w:val="22"/>
          <w:szCs w:val="22"/>
        </w:rPr>
      </w:pPr>
    </w:p>
    <w:p w:rsidR="006446D3" w:rsidRDefault="00FE369E" w:rsidP="00FE369E">
      <w:pPr>
        <w:pStyle w:val="ListParagraph"/>
        <w:numPr>
          <w:ilvl w:val="0"/>
          <w:numId w:val="42"/>
        </w:numPr>
        <w:tabs>
          <w:tab w:val="left" w:pos="8160"/>
        </w:tabs>
        <w:jc w:val="both"/>
        <w:rPr>
          <w:rFonts w:ascii="Palatino Linotype" w:hAnsi="Palatino Linotype"/>
          <w:b/>
          <w:sz w:val="22"/>
          <w:szCs w:val="22"/>
        </w:rPr>
      </w:pPr>
      <w:r w:rsidRPr="00FE369E">
        <w:rPr>
          <w:rFonts w:ascii="Palatino Linotype" w:hAnsi="Palatino Linotype"/>
          <w:b/>
          <w:sz w:val="22"/>
          <w:szCs w:val="22"/>
        </w:rPr>
        <w:t>CFTC Orders Chicago Trading Firm and Its Co-Founder to Pay $2.5 Million in Penalties for Spoofing and Manipulative Trading Scheme</w:t>
      </w:r>
    </w:p>
    <w:p w:rsidR="006446D3" w:rsidRDefault="006446D3" w:rsidP="009271A2">
      <w:pPr>
        <w:tabs>
          <w:tab w:val="left" w:pos="8160"/>
        </w:tabs>
        <w:jc w:val="both"/>
        <w:rPr>
          <w:rFonts w:ascii="Palatino Linotype" w:hAnsi="Palatino Linotype"/>
          <w:b/>
          <w:sz w:val="22"/>
          <w:szCs w:val="22"/>
        </w:rPr>
      </w:pPr>
    </w:p>
    <w:p w:rsidR="00FE369E" w:rsidRPr="00FE369E" w:rsidRDefault="00FE369E" w:rsidP="00FE369E">
      <w:pPr>
        <w:tabs>
          <w:tab w:val="left" w:pos="8160"/>
        </w:tabs>
        <w:jc w:val="both"/>
        <w:rPr>
          <w:rFonts w:ascii="Palatino Linotype" w:hAnsi="Palatino Linotype"/>
          <w:sz w:val="22"/>
          <w:szCs w:val="22"/>
        </w:rPr>
      </w:pPr>
      <w:r w:rsidRPr="00FE369E">
        <w:rPr>
          <w:rFonts w:ascii="Palatino Linotype" w:hAnsi="Palatino Linotype"/>
          <w:sz w:val="22"/>
          <w:szCs w:val="22"/>
        </w:rPr>
        <w:t xml:space="preserve">The U.S. Commodity Futures Trading Commission announced today the filing and settling of enforcement actions against Hard Eight Futures, LLC and Igor Chernomzav for spoofing – bidding or offering with the intent to cancel the bid or offer before execution – and for engaging in a </w:t>
      </w:r>
      <w:r w:rsidRPr="00FE369E">
        <w:rPr>
          <w:rFonts w:ascii="Palatino Linotype" w:hAnsi="Palatino Linotype"/>
          <w:sz w:val="22"/>
          <w:szCs w:val="22"/>
        </w:rPr>
        <w:lastRenderedPageBreak/>
        <w:t>manipulative and deceptive trading scheme.  Hard Eight is a proprietary trading firm located in Chicago, Illinois.  Chernomzav is a founder, partner of, and trader for, Hard Eight, and resides in Monsey, New York.</w:t>
      </w:r>
    </w:p>
    <w:p w:rsidR="00FE369E" w:rsidRPr="00FE369E" w:rsidRDefault="00FE369E" w:rsidP="00FE369E">
      <w:pPr>
        <w:tabs>
          <w:tab w:val="left" w:pos="8160"/>
        </w:tabs>
        <w:jc w:val="both"/>
        <w:rPr>
          <w:rFonts w:ascii="Palatino Linotype" w:hAnsi="Palatino Linotype"/>
          <w:sz w:val="22"/>
          <w:szCs w:val="22"/>
        </w:rPr>
      </w:pPr>
    </w:p>
    <w:p w:rsidR="00FE369E" w:rsidRPr="00FE369E" w:rsidRDefault="00FE369E" w:rsidP="00FE369E">
      <w:pPr>
        <w:tabs>
          <w:tab w:val="left" w:pos="8160"/>
        </w:tabs>
        <w:jc w:val="both"/>
        <w:rPr>
          <w:rFonts w:ascii="Palatino Linotype" w:hAnsi="Palatino Linotype"/>
          <w:sz w:val="22"/>
          <w:szCs w:val="22"/>
        </w:rPr>
      </w:pPr>
      <w:r w:rsidRPr="00FE369E">
        <w:rPr>
          <w:rFonts w:ascii="Palatino Linotype" w:hAnsi="Palatino Linotype"/>
          <w:sz w:val="22"/>
          <w:szCs w:val="22"/>
        </w:rPr>
        <w:t>“This case is about maintaining fair markets,” said CFTC Director of Enforcement James McDonald.  “Market integrity in today’s electronically traded markets starts with making sure bids and offers represent real buying and selling interest, not fake order flow intended to manipulate other market participants.”</w:t>
      </w:r>
    </w:p>
    <w:p w:rsidR="00FE369E" w:rsidRPr="00FE369E" w:rsidRDefault="00FE369E" w:rsidP="00FE369E">
      <w:pPr>
        <w:tabs>
          <w:tab w:val="left" w:pos="8160"/>
        </w:tabs>
        <w:jc w:val="both"/>
        <w:rPr>
          <w:rFonts w:ascii="Palatino Linotype" w:hAnsi="Palatino Linotype"/>
          <w:sz w:val="22"/>
          <w:szCs w:val="22"/>
        </w:rPr>
      </w:pPr>
    </w:p>
    <w:p w:rsidR="00FE369E" w:rsidRPr="00FE369E" w:rsidRDefault="00FE369E" w:rsidP="00FE369E">
      <w:pPr>
        <w:tabs>
          <w:tab w:val="left" w:pos="8160"/>
        </w:tabs>
        <w:jc w:val="both"/>
        <w:rPr>
          <w:rFonts w:ascii="Palatino Linotype" w:hAnsi="Palatino Linotype"/>
          <w:sz w:val="22"/>
          <w:szCs w:val="22"/>
        </w:rPr>
      </w:pPr>
      <w:r w:rsidRPr="00FE369E">
        <w:rPr>
          <w:rFonts w:ascii="Palatino Linotype" w:hAnsi="Palatino Linotype"/>
          <w:sz w:val="22"/>
          <w:szCs w:val="22"/>
        </w:rPr>
        <w:t>The orders require Hard Eight and Chernomzav to pay civil monetary penalties of $1.75 million and $750,000, respectively, for total penalties of $2.5 million.  In addition, Chernomzav is barred from trading in any market regulated by the CFTC for a period of nine months.</w:t>
      </w:r>
    </w:p>
    <w:p w:rsidR="00FE369E" w:rsidRPr="00FE369E" w:rsidRDefault="00FE369E" w:rsidP="00FE369E">
      <w:pPr>
        <w:tabs>
          <w:tab w:val="left" w:pos="8160"/>
        </w:tabs>
        <w:jc w:val="both"/>
        <w:rPr>
          <w:rFonts w:ascii="Palatino Linotype" w:hAnsi="Palatino Linotype"/>
          <w:sz w:val="22"/>
          <w:szCs w:val="22"/>
        </w:rPr>
      </w:pPr>
    </w:p>
    <w:p w:rsidR="00FE369E" w:rsidRPr="00FE369E" w:rsidRDefault="00FE369E" w:rsidP="00FE369E">
      <w:pPr>
        <w:tabs>
          <w:tab w:val="left" w:pos="8160"/>
        </w:tabs>
        <w:jc w:val="both"/>
        <w:rPr>
          <w:rFonts w:ascii="Palatino Linotype" w:hAnsi="Palatino Linotype"/>
          <w:sz w:val="22"/>
          <w:szCs w:val="22"/>
        </w:rPr>
      </w:pPr>
      <w:r w:rsidRPr="00FE369E">
        <w:rPr>
          <w:rFonts w:ascii="Palatino Linotype" w:hAnsi="Palatino Linotype"/>
          <w:sz w:val="22"/>
          <w:szCs w:val="22"/>
        </w:rPr>
        <w:t>The orders state that from March 2014 through March 2015, Chernomzav placed bids and offers for E-mini futures contracts on Globex, the CME’s electronic trading platform, with the intent to cancel those orders before execution.  At the time Chernomzav placed and cancelled the orders, they constituted a substantial percentage of the best bid or offer.</w:t>
      </w:r>
    </w:p>
    <w:p w:rsidR="00FE369E" w:rsidRPr="00FE369E" w:rsidRDefault="00FE369E" w:rsidP="00FE369E">
      <w:pPr>
        <w:tabs>
          <w:tab w:val="left" w:pos="8160"/>
        </w:tabs>
        <w:jc w:val="both"/>
        <w:rPr>
          <w:rFonts w:ascii="Palatino Linotype" w:hAnsi="Palatino Linotype"/>
          <w:sz w:val="22"/>
          <w:szCs w:val="22"/>
        </w:rPr>
      </w:pPr>
    </w:p>
    <w:p w:rsidR="00FE369E" w:rsidRPr="00FE369E" w:rsidRDefault="00FE369E" w:rsidP="00FE369E">
      <w:pPr>
        <w:tabs>
          <w:tab w:val="left" w:pos="8160"/>
        </w:tabs>
        <w:jc w:val="both"/>
        <w:rPr>
          <w:rFonts w:ascii="Palatino Linotype" w:hAnsi="Palatino Linotype"/>
          <w:sz w:val="22"/>
          <w:szCs w:val="22"/>
        </w:rPr>
      </w:pPr>
      <w:r w:rsidRPr="00FE369E">
        <w:rPr>
          <w:rFonts w:ascii="Palatino Linotype" w:hAnsi="Palatino Linotype"/>
          <w:sz w:val="22"/>
          <w:szCs w:val="22"/>
        </w:rPr>
        <w:t>The CFTC orders find that Chernomzav placed the orders to create a false impression of significant buying or selling interest.  Chernomzav used this false impression of buying or selling interest, or the sudden and dramatic removal thereof, to induce other market participants to transact with orders that he wanted to be executed at prices or in quantities favorable to him.</w:t>
      </w:r>
    </w:p>
    <w:p w:rsidR="00FE369E" w:rsidRPr="00FE369E" w:rsidRDefault="00FE369E" w:rsidP="00FE369E">
      <w:pPr>
        <w:tabs>
          <w:tab w:val="left" w:pos="8160"/>
        </w:tabs>
        <w:jc w:val="both"/>
        <w:rPr>
          <w:rFonts w:ascii="Palatino Linotype" w:hAnsi="Palatino Linotype"/>
          <w:sz w:val="22"/>
          <w:szCs w:val="22"/>
        </w:rPr>
      </w:pPr>
    </w:p>
    <w:p w:rsidR="00FE369E" w:rsidRPr="00FE369E" w:rsidRDefault="00FE369E" w:rsidP="00FE369E">
      <w:pPr>
        <w:tabs>
          <w:tab w:val="left" w:pos="8160"/>
        </w:tabs>
        <w:jc w:val="both"/>
        <w:rPr>
          <w:rFonts w:ascii="Palatino Linotype" w:hAnsi="Palatino Linotype"/>
          <w:sz w:val="22"/>
          <w:szCs w:val="22"/>
        </w:rPr>
      </w:pPr>
      <w:r w:rsidRPr="00FE369E">
        <w:rPr>
          <w:rFonts w:ascii="Palatino Linotype" w:hAnsi="Palatino Linotype"/>
          <w:sz w:val="22"/>
          <w:szCs w:val="22"/>
        </w:rPr>
        <w:t>Chernomzav engaged in this conduct on more than a thousand occasions between March 2014 and March 2015.</w:t>
      </w:r>
    </w:p>
    <w:p w:rsidR="00FE369E" w:rsidRPr="00FE369E" w:rsidRDefault="00FE369E" w:rsidP="00FE369E">
      <w:pPr>
        <w:tabs>
          <w:tab w:val="left" w:pos="8160"/>
        </w:tabs>
        <w:jc w:val="both"/>
        <w:rPr>
          <w:rFonts w:ascii="Palatino Linotype" w:hAnsi="Palatino Linotype"/>
          <w:sz w:val="22"/>
          <w:szCs w:val="22"/>
        </w:rPr>
      </w:pPr>
    </w:p>
    <w:p w:rsidR="006446D3" w:rsidRPr="00FE369E" w:rsidRDefault="00FE369E" w:rsidP="009271A2">
      <w:pPr>
        <w:tabs>
          <w:tab w:val="left" w:pos="8160"/>
        </w:tabs>
        <w:jc w:val="both"/>
        <w:rPr>
          <w:rFonts w:ascii="Palatino Linotype" w:hAnsi="Palatino Linotype"/>
          <w:b/>
          <w:sz w:val="18"/>
          <w:szCs w:val="18"/>
        </w:rPr>
      </w:pPr>
      <w:r w:rsidRPr="00FE369E">
        <w:rPr>
          <w:rFonts w:ascii="Palatino Linotype" w:hAnsi="Palatino Linotype"/>
          <w:b/>
          <w:sz w:val="18"/>
          <w:szCs w:val="18"/>
        </w:rPr>
        <w:t xml:space="preserve">Source: </w:t>
      </w:r>
      <w:hyperlink r:id="rId42" w:history="1">
        <w:r w:rsidRPr="00FE369E">
          <w:rPr>
            <w:rStyle w:val="Hyperlink"/>
            <w:rFonts w:ascii="Palatino Linotype" w:hAnsi="Palatino Linotype"/>
            <w:b/>
            <w:sz w:val="18"/>
            <w:szCs w:val="18"/>
          </w:rPr>
          <w:t>https://www.cftc.gov/PressRoom/PressReleases/8024-19</w:t>
        </w:r>
      </w:hyperlink>
    </w:p>
    <w:p w:rsidR="006446D3" w:rsidRDefault="006446D3" w:rsidP="009271A2">
      <w:pPr>
        <w:tabs>
          <w:tab w:val="left" w:pos="8160"/>
        </w:tabs>
        <w:jc w:val="both"/>
        <w:rPr>
          <w:rFonts w:ascii="Palatino Linotype" w:hAnsi="Palatino Linotype"/>
          <w:b/>
          <w:sz w:val="22"/>
          <w:szCs w:val="22"/>
        </w:rPr>
      </w:pPr>
    </w:p>
    <w:p w:rsidR="006446D3" w:rsidRDefault="006446D3" w:rsidP="009271A2">
      <w:pPr>
        <w:tabs>
          <w:tab w:val="left" w:pos="8160"/>
        </w:tabs>
        <w:jc w:val="both"/>
        <w:rPr>
          <w:rFonts w:ascii="Palatino Linotype" w:hAnsi="Palatino Linotype"/>
          <w:b/>
          <w:sz w:val="22"/>
          <w:szCs w:val="22"/>
        </w:rPr>
      </w:pPr>
    </w:p>
    <w:p w:rsidR="006446D3" w:rsidRDefault="006446D3"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6446D3" w:rsidRDefault="006446D3" w:rsidP="009271A2">
      <w:pPr>
        <w:tabs>
          <w:tab w:val="left" w:pos="8160"/>
        </w:tabs>
        <w:jc w:val="both"/>
        <w:rPr>
          <w:rFonts w:ascii="Palatino Linotype" w:hAnsi="Palatino Linotype"/>
          <w:b/>
          <w:sz w:val="22"/>
          <w:szCs w:val="22"/>
        </w:rPr>
      </w:pPr>
    </w:p>
    <w:p w:rsidR="006446D3" w:rsidRDefault="006446D3" w:rsidP="009271A2">
      <w:pPr>
        <w:tabs>
          <w:tab w:val="left" w:pos="8160"/>
        </w:tabs>
        <w:jc w:val="both"/>
        <w:rPr>
          <w:rFonts w:ascii="Palatino Linotype" w:hAnsi="Palatino Linotype"/>
          <w:b/>
          <w:sz w:val="22"/>
          <w:szCs w:val="22"/>
        </w:rPr>
      </w:pPr>
    </w:p>
    <w:p w:rsidR="006446D3" w:rsidRDefault="006446D3" w:rsidP="009271A2">
      <w:pPr>
        <w:tabs>
          <w:tab w:val="left" w:pos="8160"/>
        </w:tabs>
        <w:jc w:val="both"/>
        <w:rPr>
          <w:rFonts w:ascii="Palatino Linotype" w:hAnsi="Palatino Linotype"/>
          <w:b/>
          <w:sz w:val="22"/>
          <w:szCs w:val="22"/>
        </w:rPr>
      </w:pPr>
    </w:p>
    <w:p w:rsidR="006446D3" w:rsidRDefault="006446D3" w:rsidP="009271A2">
      <w:pPr>
        <w:tabs>
          <w:tab w:val="left" w:pos="8160"/>
        </w:tabs>
        <w:jc w:val="both"/>
        <w:rPr>
          <w:rFonts w:ascii="Palatino Linotype" w:hAnsi="Palatino Linotype"/>
          <w:b/>
          <w:sz w:val="22"/>
          <w:szCs w:val="22"/>
        </w:rPr>
      </w:pPr>
    </w:p>
    <w:p w:rsidR="006446D3" w:rsidRDefault="006446D3" w:rsidP="009271A2">
      <w:pPr>
        <w:tabs>
          <w:tab w:val="left" w:pos="8160"/>
        </w:tabs>
        <w:jc w:val="both"/>
        <w:rPr>
          <w:rFonts w:ascii="Palatino Linotype" w:hAnsi="Palatino Linotype"/>
          <w:b/>
          <w:sz w:val="22"/>
          <w:szCs w:val="22"/>
        </w:rPr>
      </w:pPr>
    </w:p>
    <w:p w:rsidR="006446D3" w:rsidRDefault="006446D3" w:rsidP="009271A2">
      <w:pPr>
        <w:tabs>
          <w:tab w:val="left" w:pos="8160"/>
        </w:tabs>
        <w:jc w:val="both"/>
        <w:rPr>
          <w:rFonts w:ascii="Palatino Linotype" w:hAnsi="Palatino Linotype"/>
          <w:b/>
          <w:sz w:val="22"/>
          <w:szCs w:val="22"/>
        </w:rPr>
      </w:pPr>
    </w:p>
    <w:p w:rsidR="00C55787" w:rsidRDefault="00C55787" w:rsidP="00C55787">
      <w:pPr>
        <w:jc w:val="center"/>
        <w:rPr>
          <w:rFonts w:ascii="Palatino Linotype" w:hAnsi="Palatino Linotype" w:cstheme="minorHAnsi"/>
          <w:b/>
          <w:sz w:val="40"/>
          <w:szCs w:val="40"/>
        </w:rPr>
      </w:pPr>
      <w:r w:rsidRPr="00C55787">
        <w:rPr>
          <w:rFonts w:ascii="Palatino Linotype" w:hAnsi="Palatino Linotype" w:cstheme="minorHAnsi"/>
          <w:b/>
          <w:sz w:val="40"/>
          <w:szCs w:val="40"/>
        </w:rPr>
        <w:lastRenderedPageBreak/>
        <w:t>POLICY DEVELOPMENTS</w:t>
      </w:r>
    </w:p>
    <w:p w:rsidR="006446D3" w:rsidRPr="00C55787" w:rsidRDefault="006446D3" w:rsidP="00C55787">
      <w:pPr>
        <w:jc w:val="center"/>
        <w:rPr>
          <w:rFonts w:ascii="Palatino Linotype" w:hAnsi="Palatino Linotype"/>
          <w:b/>
          <w:sz w:val="40"/>
          <w:szCs w:val="40"/>
        </w:rPr>
      </w:pPr>
    </w:p>
    <w:p w:rsidR="002D2DC8" w:rsidRPr="006446D3" w:rsidRDefault="002D2DC8" w:rsidP="006446D3">
      <w:pPr>
        <w:pStyle w:val="ListParagraph"/>
        <w:numPr>
          <w:ilvl w:val="0"/>
          <w:numId w:val="25"/>
        </w:numPr>
        <w:jc w:val="both"/>
        <w:rPr>
          <w:rFonts w:ascii="Palatino Linotype" w:hAnsi="Palatino Linotype"/>
          <w:b/>
          <w:sz w:val="22"/>
          <w:szCs w:val="22"/>
        </w:rPr>
      </w:pPr>
      <w:r w:rsidRPr="006446D3">
        <w:rPr>
          <w:rFonts w:ascii="Palatino Linotype" w:hAnsi="Palatino Linotype"/>
          <w:b/>
          <w:sz w:val="22"/>
          <w:szCs w:val="22"/>
        </w:rPr>
        <w:t>Schemes of Arrangement by Listed Entities and (ii) Relaxation under Sub-rule (7) of rule 19 of the Securities Contracts (Regulation) Rules, 1957</w:t>
      </w:r>
    </w:p>
    <w:p w:rsidR="002D2DC8" w:rsidRPr="006446D3" w:rsidRDefault="002D2DC8" w:rsidP="006446D3">
      <w:pPr>
        <w:ind w:left="360"/>
        <w:jc w:val="both"/>
        <w:rPr>
          <w:rFonts w:ascii="Palatino Linotype" w:hAnsi="Palatino Linotype"/>
          <w:b/>
          <w:sz w:val="22"/>
          <w:szCs w:val="22"/>
        </w:rPr>
      </w:pPr>
    </w:p>
    <w:p w:rsidR="002D2DC8" w:rsidRPr="006446D3" w:rsidRDefault="002D2DC8" w:rsidP="006446D3">
      <w:pPr>
        <w:ind w:left="360"/>
        <w:jc w:val="both"/>
        <w:rPr>
          <w:rFonts w:ascii="Palatino Linotype" w:hAnsi="Palatino Linotype"/>
          <w:bCs/>
          <w:sz w:val="22"/>
          <w:szCs w:val="22"/>
        </w:rPr>
      </w:pPr>
      <w:r w:rsidRPr="006446D3">
        <w:rPr>
          <w:rFonts w:ascii="Palatino Linotype" w:hAnsi="Palatino Linotype"/>
          <w:bCs/>
          <w:sz w:val="22"/>
          <w:szCs w:val="22"/>
        </w:rPr>
        <w:t xml:space="preserve">SEBI asked listed companies to settle their outstanding dues of SEBI, stock exchanges and depositories before filing ‘schemes of arrangement’ such as mergers and demergers with the exchanges.   </w:t>
      </w:r>
    </w:p>
    <w:p w:rsidR="002D2DC8" w:rsidRPr="006446D3" w:rsidRDefault="002D2DC8" w:rsidP="006446D3">
      <w:pPr>
        <w:ind w:left="360"/>
        <w:jc w:val="both"/>
        <w:rPr>
          <w:rFonts w:ascii="Palatino Linotype" w:hAnsi="Palatino Linotype"/>
          <w:b/>
          <w:sz w:val="22"/>
          <w:szCs w:val="22"/>
        </w:rPr>
      </w:pPr>
    </w:p>
    <w:p w:rsidR="002D2DC8" w:rsidRPr="006446D3" w:rsidRDefault="002D2DC8" w:rsidP="006446D3">
      <w:pPr>
        <w:ind w:left="360"/>
        <w:jc w:val="both"/>
        <w:rPr>
          <w:rFonts w:ascii="Palatino Linotype" w:hAnsi="Palatino Linotype"/>
          <w:b/>
          <w:sz w:val="18"/>
          <w:szCs w:val="18"/>
        </w:rPr>
      </w:pPr>
      <w:r w:rsidRPr="006446D3">
        <w:rPr>
          <w:rFonts w:ascii="Palatino Linotype" w:hAnsi="Palatino Linotype"/>
          <w:b/>
          <w:sz w:val="18"/>
          <w:szCs w:val="18"/>
        </w:rPr>
        <w:t>Source: SEBI/HO/CFD/DIL1/CIR/P/2019/192 dated September 12, 2019</w:t>
      </w:r>
    </w:p>
    <w:p w:rsidR="002D2DC8" w:rsidRPr="006446D3" w:rsidRDefault="002D2DC8" w:rsidP="006446D3">
      <w:pPr>
        <w:ind w:left="360"/>
        <w:jc w:val="both"/>
        <w:rPr>
          <w:rFonts w:ascii="Palatino Linotype" w:hAnsi="Palatino Linotype"/>
          <w:sz w:val="22"/>
          <w:szCs w:val="22"/>
        </w:rPr>
      </w:pPr>
    </w:p>
    <w:p w:rsidR="002D2DC8" w:rsidRPr="006446D3" w:rsidRDefault="002D2DC8" w:rsidP="006446D3">
      <w:pPr>
        <w:pStyle w:val="ListParagraph"/>
        <w:numPr>
          <w:ilvl w:val="0"/>
          <w:numId w:val="25"/>
        </w:numPr>
        <w:jc w:val="both"/>
        <w:rPr>
          <w:rFonts w:ascii="Palatino Linotype" w:hAnsi="Palatino Linotype"/>
          <w:b/>
          <w:sz w:val="22"/>
          <w:szCs w:val="22"/>
        </w:rPr>
      </w:pPr>
      <w:r w:rsidRPr="006446D3">
        <w:rPr>
          <w:rFonts w:ascii="Palatino Linotype" w:hAnsi="Palatino Linotype"/>
          <w:b/>
          <w:sz w:val="22"/>
          <w:szCs w:val="22"/>
        </w:rPr>
        <w:t>Additional commodities as Eligible Liquid Assets for Commodity Derivatives Segment</w:t>
      </w:r>
    </w:p>
    <w:p w:rsidR="002D2DC8" w:rsidRPr="006446D3" w:rsidRDefault="002D2DC8" w:rsidP="006446D3">
      <w:pPr>
        <w:ind w:left="360"/>
        <w:jc w:val="both"/>
        <w:rPr>
          <w:rFonts w:ascii="Palatino Linotype" w:hAnsi="Palatino Linotype"/>
          <w:sz w:val="22"/>
          <w:szCs w:val="22"/>
        </w:rPr>
      </w:pPr>
      <w:r w:rsidRPr="006446D3">
        <w:rPr>
          <w:rFonts w:ascii="Palatino Linotype" w:hAnsi="Palatino Linotype"/>
          <w:sz w:val="22"/>
          <w:szCs w:val="22"/>
        </w:rPr>
        <w:t>SEBI said that “Considering the introduction of compulsory delivery-based diamond and base metal derivatives contracts and feedback received from the stakeholders, it has been decided to include diamond, base metals and alloys in the list of permissible liquid assets”.</w:t>
      </w:r>
    </w:p>
    <w:p w:rsidR="002D2DC8" w:rsidRPr="006446D3" w:rsidRDefault="002D2DC8" w:rsidP="006446D3">
      <w:pPr>
        <w:ind w:left="360"/>
        <w:jc w:val="both"/>
        <w:rPr>
          <w:rFonts w:ascii="Palatino Linotype" w:hAnsi="Palatino Linotype"/>
          <w:sz w:val="22"/>
          <w:szCs w:val="22"/>
        </w:rPr>
      </w:pPr>
    </w:p>
    <w:p w:rsidR="002D2DC8" w:rsidRPr="006446D3" w:rsidRDefault="002D2DC8" w:rsidP="006446D3">
      <w:pPr>
        <w:ind w:left="360"/>
        <w:jc w:val="both"/>
        <w:rPr>
          <w:rFonts w:ascii="Palatino Linotype" w:hAnsi="Palatino Linotype"/>
          <w:sz w:val="22"/>
          <w:szCs w:val="22"/>
        </w:rPr>
      </w:pPr>
      <w:r w:rsidRPr="006446D3">
        <w:rPr>
          <w:rFonts w:ascii="Palatino Linotype" w:hAnsi="Palatino Linotype"/>
          <w:sz w:val="22"/>
          <w:szCs w:val="22"/>
        </w:rPr>
        <w:t>This is subject to minimum applicable haircut and concentration limits, which clearing corporations may accept.  The minimum applicable haircut is 40 per cent for diamond and 30 per cent for base metals and alloys.  Besides, it also mentioned that the minimum haircut stipulated for steel stands revised to 30 per cent from the current applicable level of 60 per cent since steel is an alloy.</w:t>
      </w:r>
    </w:p>
    <w:p w:rsidR="002D2DC8" w:rsidRPr="006446D3" w:rsidRDefault="002D2DC8" w:rsidP="006446D3">
      <w:pPr>
        <w:ind w:left="360"/>
        <w:jc w:val="both"/>
        <w:rPr>
          <w:rFonts w:ascii="Palatino Linotype" w:hAnsi="Palatino Linotype"/>
          <w:b/>
          <w:sz w:val="22"/>
          <w:szCs w:val="22"/>
        </w:rPr>
      </w:pPr>
    </w:p>
    <w:p w:rsidR="002D2DC8" w:rsidRPr="006446D3" w:rsidRDefault="002D2DC8" w:rsidP="006446D3">
      <w:pPr>
        <w:ind w:left="360"/>
        <w:jc w:val="both"/>
        <w:rPr>
          <w:rFonts w:ascii="Palatino Linotype" w:hAnsi="Palatino Linotype"/>
          <w:b/>
          <w:sz w:val="18"/>
          <w:szCs w:val="18"/>
        </w:rPr>
      </w:pPr>
      <w:r w:rsidRPr="006446D3">
        <w:rPr>
          <w:rFonts w:ascii="Palatino Linotype" w:hAnsi="Palatino Linotype"/>
          <w:b/>
          <w:sz w:val="18"/>
          <w:szCs w:val="18"/>
        </w:rPr>
        <w:t>Source: SEBI/HO/CDMRD/DRMP/CIR/P/2019/100 dated September 13, 2019</w:t>
      </w:r>
    </w:p>
    <w:p w:rsidR="002D2DC8" w:rsidRPr="006446D3" w:rsidRDefault="002D2DC8" w:rsidP="006446D3">
      <w:pPr>
        <w:ind w:left="360"/>
        <w:jc w:val="both"/>
        <w:rPr>
          <w:rFonts w:ascii="Palatino Linotype" w:hAnsi="Palatino Linotype"/>
          <w:sz w:val="22"/>
          <w:szCs w:val="22"/>
        </w:rPr>
      </w:pPr>
    </w:p>
    <w:p w:rsidR="002D2DC8" w:rsidRPr="006446D3" w:rsidRDefault="002D2DC8" w:rsidP="006446D3">
      <w:pPr>
        <w:pStyle w:val="ListParagraph"/>
        <w:numPr>
          <w:ilvl w:val="0"/>
          <w:numId w:val="25"/>
        </w:numPr>
        <w:jc w:val="both"/>
        <w:rPr>
          <w:rFonts w:ascii="Palatino Linotype" w:hAnsi="Palatino Linotype"/>
          <w:b/>
          <w:sz w:val="22"/>
          <w:szCs w:val="22"/>
        </w:rPr>
      </w:pPr>
      <w:r w:rsidRPr="006446D3">
        <w:rPr>
          <w:rFonts w:ascii="Palatino Linotype" w:hAnsi="Palatino Linotype"/>
          <w:b/>
          <w:sz w:val="22"/>
          <w:szCs w:val="22"/>
        </w:rPr>
        <w:t>Risk management framework for liquid and overnight funds and norms governing investment in short term deposits</w:t>
      </w:r>
    </w:p>
    <w:p w:rsidR="002D2DC8" w:rsidRPr="006446D3" w:rsidRDefault="002D2DC8" w:rsidP="006446D3">
      <w:pPr>
        <w:ind w:left="360"/>
        <w:jc w:val="both"/>
        <w:rPr>
          <w:rFonts w:ascii="Palatino Linotype" w:hAnsi="Palatino Linotype"/>
          <w:b/>
          <w:sz w:val="22"/>
          <w:szCs w:val="22"/>
        </w:rPr>
      </w:pPr>
    </w:p>
    <w:p w:rsidR="002D2DC8" w:rsidRPr="006446D3" w:rsidRDefault="002D2DC8" w:rsidP="006446D3">
      <w:pPr>
        <w:ind w:left="360"/>
        <w:jc w:val="both"/>
        <w:rPr>
          <w:rFonts w:ascii="Palatino Linotype" w:hAnsi="Palatino Linotype"/>
          <w:bCs/>
          <w:sz w:val="22"/>
          <w:szCs w:val="22"/>
        </w:rPr>
      </w:pPr>
      <w:r w:rsidRPr="006446D3">
        <w:rPr>
          <w:rFonts w:ascii="Palatino Linotype" w:hAnsi="Palatino Linotype"/>
          <w:bCs/>
          <w:sz w:val="22"/>
          <w:szCs w:val="22"/>
        </w:rPr>
        <w:t>The SEBI circular said, “Liquid assets shall include cash, government securities, T-bills and repo on government securities.  In case, the exposure in such liquid assets falls below 20</w:t>
      </w:r>
      <w:r w:rsidR="005B5C45" w:rsidRPr="006446D3">
        <w:rPr>
          <w:rFonts w:ascii="Palatino Linotype" w:hAnsi="Palatino Linotype"/>
          <w:bCs/>
          <w:sz w:val="22"/>
          <w:szCs w:val="22"/>
        </w:rPr>
        <w:t>per cent</w:t>
      </w:r>
      <w:r w:rsidRPr="006446D3">
        <w:rPr>
          <w:rFonts w:ascii="Palatino Linotype" w:hAnsi="Palatino Linotype"/>
          <w:bCs/>
          <w:sz w:val="22"/>
          <w:szCs w:val="22"/>
        </w:rPr>
        <w:t xml:space="preserve"> of net assets of the scheme, the asset management company (AMC) shall ensure compliance with the above requirement before making any further investments”.  This provision will come into effect from April 1, 2020. </w:t>
      </w:r>
    </w:p>
    <w:p w:rsidR="002D2DC8" w:rsidRPr="006446D3" w:rsidRDefault="002D2DC8" w:rsidP="006446D3">
      <w:pPr>
        <w:ind w:left="360"/>
        <w:jc w:val="both"/>
        <w:rPr>
          <w:rFonts w:ascii="Palatino Linotype" w:hAnsi="Palatino Linotype"/>
          <w:b/>
          <w:sz w:val="22"/>
          <w:szCs w:val="22"/>
        </w:rPr>
      </w:pPr>
    </w:p>
    <w:p w:rsidR="002D2DC8" w:rsidRPr="006446D3" w:rsidRDefault="002D2DC8" w:rsidP="006446D3">
      <w:pPr>
        <w:ind w:left="360"/>
        <w:jc w:val="both"/>
        <w:rPr>
          <w:rFonts w:ascii="Palatino Linotype" w:hAnsi="Palatino Linotype"/>
          <w:b/>
          <w:sz w:val="18"/>
          <w:szCs w:val="18"/>
        </w:rPr>
      </w:pPr>
      <w:r w:rsidRPr="006446D3">
        <w:rPr>
          <w:rFonts w:ascii="Palatino Linotype" w:hAnsi="Palatino Linotype"/>
          <w:b/>
          <w:sz w:val="18"/>
          <w:szCs w:val="18"/>
        </w:rPr>
        <w:t>Source: SEBI/HO/IMD/DF2/CIR/P/2019/101 dated September 20, 2019</w:t>
      </w:r>
    </w:p>
    <w:p w:rsidR="002D2DC8" w:rsidRPr="006446D3" w:rsidRDefault="002D2DC8" w:rsidP="006446D3">
      <w:pPr>
        <w:jc w:val="both"/>
        <w:rPr>
          <w:rFonts w:ascii="Palatino Linotype" w:hAnsi="Palatino Linotype"/>
          <w:sz w:val="22"/>
          <w:szCs w:val="22"/>
        </w:rPr>
      </w:pPr>
    </w:p>
    <w:p w:rsidR="002D2DC8" w:rsidRPr="006446D3" w:rsidRDefault="002D2DC8" w:rsidP="006446D3">
      <w:pPr>
        <w:pStyle w:val="ListParagraph"/>
        <w:numPr>
          <w:ilvl w:val="0"/>
          <w:numId w:val="25"/>
        </w:numPr>
        <w:jc w:val="both"/>
        <w:rPr>
          <w:rFonts w:ascii="Palatino Linotype" w:hAnsi="Palatino Linotype"/>
          <w:b/>
          <w:sz w:val="22"/>
          <w:szCs w:val="22"/>
        </w:rPr>
      </w:pPr>
      <w:r w:rsidRPr="006446D3">
        <w:rPr>
          <w:rFonts w:ascii="Palatino Linotype" w:hAnsi="Palatino Linotype"/>
          <w:b/>
          <w:sz w:val="22"/>
          <w:szCs w:val="22"/>
        </w:rPr>
        <w:t>Valuation of money market and debt securities</w:t>
      </w:r>
    </w:p>
    <w:p w:rsidR="002D2DC8" w:rsidRPr="006446D3" w:rsidRDefault="002D2DC8" w:rsidP="006446D3">
      <w:pPr>
        <w:ind w:left="360"/>
        <w:jc w:val="both"/>
        <w:rPr>
          <w:rFonts w:ascii="Palatino Linotype" w:hAnsi="Palatino Linotype" w:cs="Arial"/>
          <w:color w:val="333333"/>
          <w:sz w:val="22"/>
          <w:szCs w:val="22"/>
          <w:shd w:val="clear" w:color="auto" w:fill="FFFFFF"/>
        </w:rPr>
      </w:pPr>
      <w:r w:rsidRPr="006446D3">
        <w:rPr>
          <w:rFonts w:ascii="Palatino Linotype" w:hAnsi="Palatino Linotype" w:cs="Arial"/>
          <w:color w:val="333333"/>
          <w:sz w:val="22"/>
          <w:szCs w:val="22"/>
          <w:shd w:val="clear" w:color="auto" w:fill="FFFFFF"/>
        </w:rPr>
        <w:t>SEBI has made changes to the valuation matrix of money market and debt securities. In this circular, to bring in consistency in valuation, SEBI said a money market or debt security shall be considered as traded when, on the date of valuation, there are trades (in marketable lots) in that security on any recognised stock exchange or there are trades reported (in marketable lots) on the trade reporting platform of recognised stock exchanges or the clearing corporation. In this regard, the marketable lots shall be defined by AMFI, the mutual fund body, in consultation with SEBI. </w:t>
      </w:r>
    </w:p>
    <w:p w:rsidR="002D2DC8" w:rsidRPr="006446D3" w:rsidRDefault="002D2DC8" w:rsidP="006446D3">
      <w:pPr>
        <w:ind w:left="360"/>
        <w:jc w:val="both"/>
        <w:rPr>
          <w:rFonts w:ascii="Palatino Linotype" w:hAnsi="Palatino Linotype"/>
          <w:b/>
          <w:sz w:val="22"/>
          <w:szCs w:val="22"/>
        </w:rPr>
      </w:pPr>
    </w:p>
    <w:p w:rsidR="002D2DC8" w:rsidRPr="006446D3" w:rsidRDefault="002D2DC8" w:rsidP="006446D3">
      <w:pPr>
        <w:ind w:left="360"/>
        <w:jc w:val="both"/>
        <w:rPr>
          <w:rFonts w:ascii="Palatino Linotype" w:hAnsi="Palatino Linotype"/>
          <w:b/>
          <w:sz w:val="18"/>
          <w:szCs w:val="18"/>
        </w:rPr>
      </w:pPr>
      <w:r w:rsidRPr="006446D3">
        <w:rPr>
          <w:rFonts w:ascii="Palatino Linotype" w:hAnsi="Palatino Linotype"/>
          <w:b/>
          <w:sz w:val="18"/>
          <w:szCs w:val="18"/>
        </w:rPr>
        <w:t>Source: SEBI/HO/IMD/DF2/CIR/P/2019/102 dated September 24, 2019</w:t>
      </w:r>
    </w:p>
    <w:p w:rsidR="002D2DC8" w:rsidRPr="006446D3" w:rsidRDefault="002D2DC8" w:rsidP="006446D3">
      <w:pPr>
        <w:ind w:left="360"/>
        <w:jc w:val="both"/>
        <w:rPr>
          <w:rFonts w:ascii="Palatino Linotype" w:hAnsi="Palatino Linotype"/>
          <w:sz w:val="22"/>
          <w:szCs w:val="22"/>
        </w:rPr>
      </w:pPr>
    </w:p>
    <w:p w:rsidR="002D2DC8" w:rsidRPr="006446D3" w:rsidRDefault="002D2DC8" w:rsidP="006446D3">
      <w:pPr>
        <w:pStyle w:val="ListParagraph"/>
        <w:numPr>
          <w:ilvl w:val="0"/>
          <w:numId w:val="25"/>
        </w:numPr>
        <w:jc w:val="both"/>
        <w:rPr>
          <w:rFonts w:ascii="Palatino Linotype" w:hAnsi="Palatino Linotype"/>
          <w:b/>
          <w:sz w:val="22"/>
          <w:szCs w:val="22"/>
        </w:rPr>
      </w:pPr>
      <w:r w:rsidRPr="006446D3">
        <w:rPr>
          <w:rFonts w:ascii="Palatino Linotype" w:hAnsi="Palatino Linotype"/>
          <w:b/>
          <w:sz w:val="22"/>
          <w:szCs w:val="22"/>
        </w:rPr>
        <w:t>Position Limits in Interest Rate Derivatives (IRD)</w:t>
      </w:r>
    </w:p>
    <w:p w:rsidR="002D2DC8" w:rsidRPr="006446D3" w:rsidRDefault="002D2DC8" w:rsidP="006446D3">
      <w:pPr>
        <w:ind w:left="360"/>
        <w:jc w:val="both"/>
        <w:rPr>
          <w:rFonts w:ascii="Palatino Linotype" w:hAnsi="Palatino Linotype"/>
          <w:sz w:val="22"/>
          <w:szCs w:val="22"/>
        </w:rPr>
      </w:pPr>
      <w:r w:rsidRPr="006446D3">
        <w:rPr>
          <w:rFonts w:ascii="Palatino Linotype" w:hAnsi="Palatino Linotype"/>
          <w:sz w:val="22"/>
          <w:szCs w:val="22"/>
        </w:rPr>
        <w:t>SEBI revised the position limits for interest rate derivatives falling in the 8-11 years maturity bucket.  The decision to review the position limit has been taken after consulting stock exchanges, SEBI said in this circular.</w:t>
      </w:r>
    </w:p>
    <w:p w:rsidR="002D2DC8" w:rsidRPr="006446D3" w:rsidRDefault="002D2DC8" w:rsidP="006446D3">
      <w:pPr>
        <w:ind w:left="360"/>
        <w:jc w:val="both"/>
        <w:rPr>
          <w:rFonts w:ascii="Palatino Linotype" w:hAnsi="Palatino Linotype"/>
          <w:sz w:val="22"/>
          <w:szCs w:val="22"/>
        </w:rPr>
      </w:pPr>
    </w:p>
    <w:p w:rsidR="002D2DC8" w:rsidRPr="006446D3" w:rsidRDefault="002D2DC8" w:rsidP="006446D3">
      <w:pPr>
        <w:ind w:left="360"/>
        <w:jc w:val="both"/>
        <w:rPr>
          <w:rFonts w:ascii="Palatino Linotype" w:hAnsi="Palatino Linotype"/>
          <w:sz w:val="22"/>
          <w:szCs w:val="22"/>
        </w:rPr>
      </w:pPr>
      <w:r w:rsidRPr="006446D3">
        <w:rPr>
          <w:rFonts w:ascii="Palatino Linotype" w:hAnsi="Palatino Linotype"/>
          <w:sz w:val="22"/>
          <w:szCs w:val="22"/>
        </w:rPr>
        <w:t>SEBI said position limits for the 8-11 year maturity bucket would be 10 per cent of open interest or Rs 1,200 crore, whichever is higher, for trading members, banks, primary dealers, insurance companies, pension funds and housing finance companies.</w:t>
      </w:r>
    </w:p>
    <w:p w:rsidR="002D2DC8" w:rsidRPr="006446D3" w:rsidRDefault="002D2DC8" w:rsidP="006446D3">
      <w:pPr>
        <w:spacing w:after="120"/>
        <w:ind w:left="360"/>
        <w:jc w:val="both"/>
        <w:rPr>
          <w:rFonts w:ascii="Palatino Linotype" w:hAnsi="Palatino Linotype" w:cs="Arial"/>
          <w:i/>
          <w:sz w:val="22"/>
          <w:szCs w:val="22"/>
        </w:rPr>
      </w:pPr>
    </w:p>
    <w:p w:rsidR="002D2DC8" w:rsidRPr="006446D3" w:rsidRDefault="002D2DC8" w:rsidP="006446D3">
      <w:pPr>
        <w:ind w:left="360"/>
        <w:jc w:val="both"/>
        <w:rPr>
          <w:rFonts w:ascii="Palatino Linotype" w:hAnsi="Palatino Linotype"/>
          <w:b/>
          <w:sz w:val="18"/>
          <w:szCs w:val="18"/>
        </w:rPr>
      </w:pPr>
      <w:r w:rsidRPr="006446D3">
        <w:rPr>
          <w:rFonts w:ascii="Palatino Linotype" w:hAnsi="Palatino Linotype"/>
          <w:b/>
          <w:sz w:val="18"/>
          <w:szCs w:val="18"/>
        </w:rPr>
        <w:t>Source: SEBI/HO/MRD/CIR/P/2019/103 dated September 26, 2019</w:t>
      </w:r>
    </w:p>
    <w:p w:rsidR="00C55787" w:rsidRDefault="00C55787" w:rsidP="00C55787">
      <w:pPr>
        <w:pStyle w:val="ListParagraph"/>
        <w:ind w:left="360"/>
        <w:jc w:val="both"/>
        <w:rPr>
          <w:rFonts w:ascii="Palatino Linotype" w:hAnsi="Palatino Linotype"/>
          <w:b/>
          <w:sz w:val="22"/>
          <w:szCs w:val="22"/>
        </w:rPr>
      </w:pPr>
    </w:p>
    <w:p w:rsidR="00C55787" w:rsidRPr="00B92596" w:rsidRDefault="00C55787" w:rsidP="00C55787">
      <w:pPr>
        <w:spacing w:after="120"/>
        <w:rPr>
          <w:rFonts w:ascii="Garamond" w:hAnsi="Garamond"/>
        </w:rPr>
      </w:pPr>
      <w:r w:rsidRPr="00186558">
        <w:rPr>
          <w:rFonts w:ascii="Garamond" w:hAnsi="Garamond" w:cs="Arial"/>
          <w:i/>
          <w:szCs w:val="32"/>
        </w:rPr>
        <w:t>Disclaimer: The summary has been prepared for the convenience of readers. In case of any ambiguity, please refer to the original circular.</w:t>
      </w:r>
    </w:p>
    <w:p w:rsidR="00C55787" w:rsidRDefault="00C55787" w:rsidP="00C55787"/>
    <w:p w:rsidR="00C55787" w:rsidRDefault="00C55787" w:rsidP="00C55787"/>
    <w:p w:rsidR="00E736B1" w:rsidRDefault="00C55787" w:rsidP="00C55787">
      <w:pPr>
        <w:tabs>
          <w:tab w:val="left" w:pos="8160"/>
        </w:tabs>
        <w:jc w:val="center"/>
        <w:rPr>
          <w:rFonts w:ascii="Palatino Linotype" w:hAnsi="Palatino Linotype"/>
          <w:b/>
          <w:sz w:val="40"/>
          <w:szCs w:val="40"/>
        </w:rPr>
      </w:pPr>
      <w:r w:rsidRPr="00C55787">
        <w:rPr>
          <w:rFonts w:ascii="Palatino Linotype" w:hAnsi="Palatino Linotype"/>
          <w:b/>
          <w:sz w:val="40"/>
          <w:szCs w:val="40"/>
        </w:rPr>
        <w:t>REGULATORY ACTION TAKEN BY SEBI</w:t>
      </w:r>
    </w:p>
    <w:p w:rsidR="006446D3" w:rsidRDefault="006446D3" w:rsidP="00C55787">
      <w:pPr>
        <w:tabs>
          <w:tab w:val="left" w:pos="8160"/>
        </w:tabs>
        <w:jc w:val="center"/>
        <w:rPr>
          <w:rFonts w:ascii="Palatino Linotype" w:hAnsi="Palatino Linotype"/>
          <w:b/>
          <w:sz w:val="40"/>
          <w:szCs w:val="40"/>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11 September 2019, in the matter of Religare Enterprises Limited (REL) directing REL and Religare Finvest Limited to continue with the steps to recall the loans, amounting to Rs. 2065.09 Crores (approx.) extended, either directly or indirectly to other notices along with due interest. Platinum Infrastructure Pvt. Ltd. and others were directed not to dispose of or alienate any of their assets or divert any funds, except for meeting expenses of day-to-day business operations, without the prior permission of SEBI.</w:t>
      </w:r>
    </w:p>
    <w:p w:rsidR="00C55787" w:rsidRPr="006446D3" w:rsidRDefault="00C55787" w:rsidP="006446D3">
      <w:pPr>
        <w:pStyle w:val="ListParagraph"/>
        <w:spacing w:after="0" w:line="240" w:lineRule="auto"/>
        <w:ind w:left="0"/>
        <w:jc w:val="both"/>
        <w:rPr>
          <w:rFonts w:ascii="Palatino Linotype" w:hAnsi="Palatino Linotype"/>
          <w:sz w:val="22"/>
          <w:szCs w:val="22"/>
          <w:lang w:eastAsia="en-IN" w:bidi="hi-IN"/>
        </w:rPr>
      </w:pPr>
    </w:p>
    <w:p w:rsid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13 September 2019, in the matter of Datsons Labs Ltd. (formerly known as Aanjaneya Lifecare Ltd.) restraining Kashi Vishwanathan and others from accessing the securities market and further prohibited from buying, selling or otherwise dealing in securities market, directly or indirectly in any manner, for various time periods. They were further restrained from associating themselves with any public listed company and/or any public company which intends to raise money from the public, and were further restrained from holding or occupying position as Director or any Key Managerial personnel in any other listed company or any registered intermediaries</w:t>
      </w:r>
      <w:r w:rsidR="006446D3">
        <w:rPr>
          <w:rFonts w:ascii="Palatino Linotype" w:hAnsi="Palatino Linotype"/>
          <w:sz w:val="22"/>
          <w:szCs w:val="22"/>
          <w:lang w:eastAsia="en-IN" w:bidi="hi-IN"/>
        </w:rPr>
        <w:t>.</w:t>
      </w:r>
    </w:p>
    <w:p w:rsidR="006C78AC" w:rsidRPr="006446D3" w:rsidRDefault="006C78AC" w:rsidP="006446D3">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17 September 2019, in the matter of CG Power and Industrial Solutions Limited restraining Gautam Thapar, V. R. Venkatesh, Madhav Acharya and B. Hariharan from accessing the securities market and are further prohibited from buying, selling or otherwise dealing in securities in any manner whatsoever, either directly or indirectly, till further orders. There were further restrained from being associated with any intermediary registered with SEBI or any listed entity or its material unlisted subsidiary. Avantha Holdings Limited, Acton Global Private Limited and Solaris Industrial Chemicals Limited were directed to retain funds/other assets to the extent of receivables shown as outstanding to CG Power an</w:t>
      </w:r>
      <w:r w:rsidR="006446D3">
        <w:rPr>
          <w:rFonts w:ascii="Palatino Linotype" w:hAnsi="Palatino Linotype"/>
          <w:sz w:val="22"/>
          <w:szCs w:val="22"/>
          <w:lang w:eastAsia="en-IN" w:bidi="hi-IN"/>
        </w:rPr>
        <w:t>d Industrial Solutions Limited.</w:t>
      </w:r>
    </w:p>
    <w:p w:rsidR="006446D3" w:rsidRPr="006446D3" w:rsidRDefault="006446D3" w:rsidP="006446D3">
      <w:pPr>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 xml:space="preserve">SEBI passed an order, dated 18 September 2019, in respect of Nirmal Kotecha in the matter of Usher Agro Limited restraining Nirmal Kotecha from accessing the securities market and further prohibiting from buying, selling or otherwise dealing in securities, directly or indirectly, or shall not associate with the securities market in any manner, whatsoever, for a period of two years for the </w:t>
      </w:r>
      <w:r w:rsidRPr="006446D3">
        <w:rPr>
          <w:rFonts w:ascii="Palatino Linotype" w:hAnsi="Palatino Linotype"/>
          <w:sz w:val="22"/>
          <w:szCs w:val="22"/>
          <w:lang w:eastAsia="en-IN" w:bidi="hi-IN"/>
        </w:rPr>
        <w:lastRenderedPageBreak/>
        <w:t xml:space="preserve">violation of Regulations 3 (a), (b), (c), (d) and 4 (1), 4 (2) (a) of PFUTP Regulations, Regulation 7(1) of the SAST Regulations  and  Regulation  13(1)  of  the  PIT  Regulations.  </w:t>
      </w:r>
    </w:p>
    <w:p w:rsidR="006446D3" w:rsidRPr="006446D3" w:rsidRDefault="006446D3" w:rsidP="006446D3">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30 September 2019, in the matter of delisting of equity shares of U.P. hotels ltd  granting U.P. Hotels Ltd., providing relaxation from the applicability of regulation 8(1B)(i) (limited to the extent of compliance with minimum public shareholding norms) for the specific purpose of seeking voluntary delisting of its equity shares subject to specified conditions.</w:t>
      </w:r>
    </w:p>
    <w:p w:rsidR="006446D3" w:rsidRPr="006446D3" w:rsidRDefault="006446D3" w:rsidP="006446D3">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30 September 2019, in the matter of M/s. Chromatic India Limited restraining the Company from accessing the Securities Market including by issuing prospectus, offer document or advertisement soliciting money from the public and is further prohibited from buying, selling or otherwise dealing in securities, directly or indirectly in any manner, for a period of five years (05) from the date of this order.</w:t>
      </w:r>
      <w:r w:rsidRPr="006446D3">
        <w:rPr>
          <w:rFonts w:ascii="Palatino Linotype" w:hAnsi="Palatino Linotype"/>
          <w:sz w:val="22"/>
          <w:szCs w:val="22"/>
        </w:rPr>
        <w:t xml:space="preserve"> Further, </w:t>
      </w:r>
      <w:r w:rsidRPr="006446D3">
        <w:rPr>
          <w:rFonts w:ascii="Palatino Linotype" w:hAnsi="Palatino Linotype"/>
          <w:sz w:val="22"/>
          <w:szCs w:val="22"/>
          <w:lang w:eastAsia="en-IN" w:bidi="hi-IN"/>
        </w:rPr>
        <w:t xml:space="preserve">Mr. Vinod Kumar Kaushik, Mr. Vipin Sharma, Mr. Ajay Sethi are restrained from accessing the Securities Market and are further prohibited from buying, selling or otherwise dealing in securities, directly or indirectly in any manner, for three and one year each respectively from the date of </w:t>
      </w:r>
      <w:r w:rsidR="006446D3">
        <w:rPr>
          <w:rFonts w:ascii="Palatino Linotype" w:hAnsi="Palatino Linotype"/>
          <w:sz w:val="22"/>
          <w:szCs w:val="22"/>
          <w:lang w:eastAsia="en-IN" w:bidi="hi-IN"/>
        </w:rPr>
        <w:t>this order.</w:t>
      </w:r>
    </w:p>
    <w:p w:rsidR="006446D3" w:rsidRPr="006446D3" w:rsidRDefault="006446D3" w:rsidP="006446D3">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30 September 2019, in the matter of Vas Infrastructure Limited directing Vasparr Shelter Limited and others to make a public announcement to acquire shares of the target company, within a period of 45 days from the date of the order and shall along with the offer price, pay interest at the rate of 10</w:t>
      </w:r>
      <w:r w:rsidR="005B5C45" w:rsidRPr="006446D3">
        <w:rPr>
          <w:rFonts w:ascii="Palatino Linotype" w:hAnsi="Palatino Linotype"/>
          <w:sz w:val="22"/>
          <w:szCs w:val="22"/>
          <w:lang w:eastAsia="en-IN" w:bidi="hi-IN"/>
        </w:rPr>
        <w:t>per cent</w:t>
      </w:r>
      <w:r w:rsidRPr="006446D3">
        <w:rPr>
          <w:rFonts w:ascii="Palatino Linotype" w:hAnsi="Palatino Linotype"/>
          <w:sz w:val="22"/>
          <w:szCs w:val="22"/>
          <w:lang w:eastAsia="en-IN" w:bidi="hi-IN"/>
        </w:rPr>
        <w:t xml:space="preserve"> per annum, for the period starting from the date when they incurred the liability to make the public announcement and till the date of payment of consideration, to the shareholders who were holding shares in the target company on the date of violation and whose shares are accepted in the open offer, after adjustment of dividend paid, if any.</w:t>
      </w:r>
    </w:p>
    <w:p w:rsidR="006446D3" w:rsidRPr="006446D3" w:rsidRDefault="006446D3" w:rsidP="006446D3">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 xml:space="preserve">SEBI passed an order, dated 30 September 2019, in the matter of Deep Industries Ltd issuing directions for  Mr. Rupeshbhai Kantilal Savla to disgorge the amount of wrongful gain amounting to </w:t>
      </w:r>
      <w:r w:rsidRPr="006446D3">
        <w:rPr>
          <w:rFonts w:ascii="Times New Roman" w:hAnsi="Times New Roman"/>
          <w:sz w:val="22"/>
          <w:szCs w:val="22"/>
          <w:lang w:eastAsia="en-IN" w:bidi="hi-IN"/>
        </w:rPr>
        <w:t>₹</w:t>
      </w:r>
      <w:r w:rsidRPr="006446D3">
        <w:rPr>
          <w:rFonts w:ascii="Palatino Linotype" w:hAnsi="Palatino Linotype"/>
          <w:sz w:val="22"/>
          <w:szCs w:val="22"/>
          <w:lang w:eastAsia="en-IN" w:bidi="hi-IN"/>
        </w:rPr>
        <w:t>1,74,57,816, as computed in the interim order qua the Noticee and lying deposited in the escrow account and shall be restrained from accessing the securities market and further prohibited them from buying, selling or otherwise dealing in securities, directly or indirectly, or being associated with the securities market in any manner, whatsoever, for a period of six months for the alleged violations of Regulation 4(1) of the SEBI (Prohibition of Insider Trading) Regulations, 2015 and Sections 12A(d) and (e) of the SEBI Act, 1992.</w:t>
      </w:r>
    </w:p>
    <w:p w:rsidR="006446D3" w:rsidRPr="006446D3" w:rsidRDefault="006446D3" w:rsidP="006446D3">
      <w:pPr>
        <w:pStyle w:val="ListParagraph"/>
        <w:spacing w:after="0" w:line="240" w:lineRule="auto"/>
        <w:ind w:left="0"/>
        <w:jc w:val="both"/>
        <w:rPr>
          <w:rFonts w:ascii="Palatino Linotype" w:hAnsi="Palatino Linotype"/>
          <w:sz w:val="22"/>
          <w:szCs w:val="22"/>
          <w:lang w:eastAsia="en-IN" w:bidi="hi-IN"/>
        </w:rPr>
      </w:pPr>
    </w:p>
    <w:p w:rsid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30 September 2019, in the matter of Sumeet Industries Limited in respect of Somani Overseas Limited and others directing them to disgorge the amounts of wrongful gains against each of them, along with interest @12</w:t>
      </w:r>
      <w:r w:rsidR="005B5C45" w:rsidRPr="006446D3">
        <w:rPr>
          <w:rFonts w:ascii="Palatino Linotype" w:hAnsi="Palatino Linotype"/>
          <w:sz w:val="22"/>
          <w:szCs w:val="22"/>
          <w:lang w:eastAsia="en-IN" w:bidi="hi-IN"/>
        </w:rPr>
        <w:t>per cent</w:t>
      </w:r>
      <w:r w:rsidRPr="006446D3">
        <w:rPr>
          <w:rFonts w:ascii="Palatino Linotype" w:hAnsi="Palatino Linotype"/>
          <w:sz w:val="22"/>
          <w:szCs w:val="22"/>
          <w:lang w:eastAsia="en-IN" w:bidi="hi-IN"/>
        </w:rPr>
        <w:t xml:space="preserve"> per annum from March 12, 2007 till the date of payment, to be calculated by excluding the period from order of Hon’ble SAT, i.e., June 30, 2016 till the date of present order.</w:t>
      </w:r>
      <w:r w:rsidRPr="006446D3">
        <w:rPr>
          <w:rFonts w:ascii="Palatino Linotype" w:hAnsi="Palatino Linotype"/>
          <w:sz w:val="22"/>
          <w:szCs w:val="22"/>
        </w:rPr>
        <w:t xml:space="preserve"> </w:t>
      </w:r>
      <w:r w:rsidRPr="006446D3">
        <w:rPr>
          <w:rFonts w:ascii="Palatino Linotype" w:hAnsi="Palatino Linotype"/>
          <w:sz w:val="22"/>
          <w:szCs w:val="22"/>
          <w:lang w:eastAsia="en-IN" w:bidi="hi-IN"/>
        </w:rPr>
        <w:t>The Banks and Depositories with whom they hold accounts and demat accounts, are directed that no debit shall be made, without permission of SEBI, in respect of their respective bank/demat accounts except for the purposes of compliance of this order; and they are also directed not to dispose of or alienate any of their assets/ properties/ securities, till such time the direction of this order is complied with. Further, they are directed to provide, within 15 days of this order, a full inventory of all their assets and properties and details of all their bank accounts, demat accounts and holdings of shares/ securities, if held in physical form and details of companies in which they hold substantial or controlling interest.</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09 September 2019, in the matter of Trading in Illiquid Stock Options imposing a total penalty of Rs 5,00,000 (Rupees Five Lakh Only) on Nihalchand G. Kasliwal for the violation of Regulation 3(a), 4(1) and 4(2)(a) of the PFUTP Regulations.</w:t>
      </w: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lastRenderedPageBreak/>
        <w:t>SEBI passed an order, dated 09 September 2019, in the matter of Cerebra Integrated Technologies Limited imposing a total penalty of Rs 6,00,000 (Rupees Six Lakh Only) on SRU Securities Limited for the violation of regulation 3 (a), (b), (c), (d) and regulations 4(1), 4(2) (a) and (e) of PFUTP Regulations, and clause A (1), (2) and D (4) of the Code of Conduct for Sub-Brokers provided in Schedule II read with regulation 15 of broker Regulations.</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12 September 2019, in the matter of Bank of Rajasthan imposing a total penalty of Rs 12,00,000 (Rupees Twelve Lakh Only) on ICICI Bank Ltd and Sandeep Batra for the violation of Regulation 12 (2) of PIT Regulations, 1992 read with Regulation 12 of PIT Regulations, 2015, Clause 36 of the equity listing agreement read with Section 21 of the SCRA.</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12 September 2019, in the matter of Trading in Illiquid Stock Options on BSE imposing a total penalty of Rs 5,00,000 (Rupees Five Lakh Only) on Sai Ram Services for the violation of Regulations 3(a), (b), (c), (d), 4(1) and 4(2)(a) of PFUTP Regulations.</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12 September 2019, in the matter of dealings in illiquid stock options at Bombay Stock Exchange Limited imposing a total penalty of Rs 5,00,000 (Rupees Five Lakh Only) on GCM Capital Advisors Ltd for the violation of Regulations 3 (a), (b), (c), (d) and 4 (1), 4 (2) (a) of PFUTP Regulations.</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13 September 2019, in the matter of its dealings in illiquid stock options at the BSE Limited imposing a total penalty of Rs 5,00,000 (Rupees Five Lakh Only) on Dowell Fiscal Services Private Limited for the violation of Regulations 3 (a), (b), (c), (d) and 4 (1), 4 (2) (a) of PFUTP Regulations.</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13 September 2019, in the matter of its dealings in illiquid stock options at the BSE Limited imposing a total penalty of Rs 7,00,000 (Rupees Seven Lakh Only) on Sarwottam Ispat Limited for the violation of Regulations 3(a), (b), (c), (d), 4(1) and 4(2)(a) of PFUTP Regulations.</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16 September 2019, in the matter of dealing in illiquid stock option at BSE imposing a total penalty of Rs 5,00,000 (Rupees Five Lakh Only) on Ajeit P S Rajbans HUF for the violation of Regulation 3(a), (b), (c), (d), 4(1) and 4(2)(a) of PFUTP Regulations.</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16 September 2019, in the matter of dealing in illiquid stock option at BSE imposing a total penalty of Rs 14,20,000 (Rupees Fourteen Lakh Twenty Thousand Only) on Akashganga Agencies Pvt Ltd for the violation of Regulation 3(a), (b), (c), (d), 4(1) and 4(2)(a) of PFUTP Regulations.</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17 September 2019, in the matter of Onward Technologies Limited imposing a total penalty of Rs 2,00,000 (Rupees Two Lakh Only) on Desai Finwealth Investments Securities Private Limited for the violation of Regulation 13(4A) read with Regulation 13(5) of PIT Regulations.</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18 September 2019, in the matter of trading in Illiquid Stock Options on BSE imposing a total penalty of Rs 5,00,000 (Rupees Five Lakh Only) on A S Advertisers for the violation of Regulations 3(a), (b), (c), (d), 4(1) and 4(2)(a) of PFUTP Regulations.</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 xml:space="preserve">SEBI passed an order, dated 18 September 2019, in the matter of Infrastructure Leasing &amp; Financial Services Limited imposing a total penalty of Rs 10,00,000 (Rupees Ten Lakh Only) on Infrastructure Leasing &amp; Financial Services Limited for the violation of Clause A (14) (b), Clause A (16) of Part B of </w:t>
      </w:r>
      <w:r w:rsidRPr="006446D3">
        <w:rPr>
          <w:rFonts w:ascii="Palatino Linotype" w:hAnsi="Palatino Linotype"/>
          <w:sz w:val="22"/>
          <w:szCs w:val="22"/>
          <w:lang w:eastAsia="en-IN" w:bidi="hi-IN"/>
        </w:rPr>
        <w:lastRenderedPageBreak/>
        <w:t>Schedule III read with regulation 51 of the LODR Regulations, section 21 of the SCRA and section 11A (2) of the SEBI Act.</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18 September 2019, in the matter of R. T. Exports Limited imposing a total penalty of Rs 35,00,000 (Rupees Thirty Five Lakh Only) on Bhavik Bhimjyani and others for the violation of regulation 23(4) and regulation 23(7) of LODR Regulations.</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19 September 2019, in the matter of dealings in illiquid stock options at Bombay Stock Exchange Limited imposing a total penalty of Rs 5,00,000 (Rupees Five Lakh Only) on Geo Fresh Organic for the violation of Regulations 3 (a), (b), (c), (d) and 4 (1), 4 (2) (a) of PFUTP Regulations.</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20 September 2019, in the matter of Illiquid Stock Options at BSE imposing a total penalty of Rs 5,00,000 (Rupees Five Lakh Only) on Atul Singal for the violation of Regulation 3(a), (b), (c), (d), 4(1) and 4(2)(a) of PFUTP Regulations.</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23 September 2019, in the matter of non redressal of investor grievances and non updation of ATR on SCORES imposing a total penalty of Rs 2,00,000 (Rupees Two Lakh Only) on Nihon Nirman Limited for failure to redress the grievance and for filing the ATR with SEBI.</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23 September 2019, in the matter of non redressal of investor grievances and non updation of ATR on SCORES imposing a total penalty of Rs 2,00,000 (Rupees Two Lakh Only) on Neelkanth Motels and Hotels Limited for non redressal of investor grievances and non updation of ATR on SCORES.</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23 September 2019, in the matter of Aurobindo Pharma Ltd. imposing a total penalty of Rs 22,70,00,000 (Rupees Twenty Two Crore Seventy Lakh Only) on PV Ramprasad Reddy and others for the violation of Regulations 3 and 4 of PIT Regulations, Clause 36 of the Equity Listing Agreement read with Section 21 of the SCRA and Regulation 12 (1) read with Clause 3.2.1 of Schedule I of the PIT Regulations, 1992, regulation 12 (2) of the PIT Regulations, 2015 and Regulation 12 (2) read with Clause 2.1 of Schedule II of the PIT Regulations, 1992 and Regulation 12 (2) of the PIT Regulations 2015.</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23 September 2019, in the matter of Ujaas Energy Ltd. imposing a total penalty of Rs 6,00,000 (Rupees Six Lakh Only) on Ujaas Energy Ltd. and others for failure to comply with the relevant provisions of ICDR Regulations.</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23 September 2019, in respect of Kanchan Udyog Limited imposing a total penalty of Rs 1,00,000 (Rupees One Lakh Only) on Kanchan Udyog Limited for failure to comply with the SEBI circular dated April 17, 2013.</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24 September 2019, in the matter of Trading in Illiquid Stock Options imposing a total penalty of Rs 5,00,000 (Rupees Five Lakh Only) on Ocean International for the violation of Regulation 3(a), 4(1) and 4(2)(a) of the PFUTP Regulations.</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24 September 2019, in respect of Synergy Infrastructure Ltd imposing a total penalty of Rs 2,00,000 (Rupees Two Lakh Only) on Synergy Infrastructure Ltd for its failure to comply with the disclosure requirement under Regulation 8(3) of the SAST Regulations.</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lastRenderedPageBreak/>
        <w:t>SEBI passed an order, dated 24 September 2019, in the matter of Trading in Illiquid Stock Options imposing a total penalty of Rs 5,00,000 (Rupees Five Lakh Only) on Meenakshi Bright Steel Pvt. Ltd for the violation of Regulation 3(a), 4(1) and 4(2)(a) of the PFUTP Regulations.</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24 September 2019, in the matter of Trading in Illiquid Stock Options on BSE imposing a total penalty of Rs 5,00,000 (Rupees Five Lakh Only) on Ranmak Works Pvt. Ltd. for the violation of regulations 3(a), (b), (c), (d), 4(1) and 4(2)(a) of PFUTP Regulations.</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25 September 2019, against Kshitish Trading Co Ltd. imposing a total penalty of Rs 1,00,000 (Rupees One Lakh Only) on Kshitish Trading Co Ltd for the violation of failed to comply with the SEBI Circulars for obtaining SCORES authentication.</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25 September 2019, in the matter of dealings in illiquid stocks options at BSE imposing a total penalty of Rs 5,00,000 (Rupees Five Lakh Only) on Universal Enterprises Ltd for the violation of Regulations 3 (a), (b), (c), (d) and 4 (1), 4 (2) (a) of PFUTP Regulations.</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25 September 2019, in the matter of SMC Global Securities Ltd. imposing a total penalty of Rs 5,00,000 (Rupees Five Lakh Only) on SMC Global Securities Ltd. for the violation of Regulation 9(f) read with Clause A (2) of the Code of Conduct as specified in Schedule II of the SBSB Regulations.</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25 September 2019, against Kumi Agro Industries Ltd. imposing a total penalty of Rs 1,00,000 (Rupees One Lakh Only) for its failure to comply with the SEBI Circulars for obtaining SCORES authentication.</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26 September 2019, Order against Konark Properties Ltd. imposing a total penalty of Rs 1,00,000 (Rupees One Lakh Only) on Konark Properties Ltd. for its failure to obtain SCORES Authentication.</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26 September 2019, in the matter of Hero Motocorp Ltd. imposing a total penalty of Rs 9,00,000 (Rupees Nine Lakh Only) on Ilam C Kamboj and Alka Kamboj for the violation of provisions of Para 3.2.2, 3.3, 4.2 and 5 of Code of Conduct given in Part A of Schedule 1 read with Regulation 12 (1) of PIT Regulations, provisions of Regulation 7(2)(a) read with regulation 6(2) of PIT Regulations 2015 and provisions of Clause 10 of Code of Conduct given in Schedule B under Regulation 9 of PIT Regulations 2015.</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26 September 2019, in respect of Toheal Pharmachem Limited imposing a total penalty of Rs 3,00,000 (Rupees Three Lakh Only) on Toheal Pharmachem Limited for the violation of provisions of SEBI Circulars No. CIR/OIAE/2/2011 dated June 03, 2011, CIR/OIAE/1/2012 dated August 13, 2012 and CIR/OIAE/1/2013 dated April 17, 2013 relating to timely redressal of investor grievances.</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26 September 2019, in respect of Odyssey Corporation Limited imposing a total penalty of Rs 1,00,000 (Rupees One Lakh Only) on Odyssey Corporation Limited for the violation of Regulation 13(3) of PIT Regulations and Regulation 29(2) read with Regulation 29(3) of SAST Regulations.</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 xml:space="preserve">SEBI passed an order, dated 26 September 2019, in the matter of Onward Technologies Limited imposing a total penalty of Rs 2,00,000 (Rupees Two Lakh Only) on Onward Network Technologies </w:t>
      </w:r>
      <w:r w:rsidRPr="006446D3">
        <w:rPr>
          <w:rFonts w:ascii="Palatino Linotype" w:hAnsi="Palatino Linotype"/>
          <w:sz w:val="22"/>
          <w:szCs w:val="22"/>
          <w:lang w:eastAsia="en-IN" w:bidi="hi-IN"/>
        </w:rPr>
        <w:lastRenderedPageBreak/>
        <w:t>Private Limited for its failure to make required disclosures in terms of Regulation 13(4A) and Regulation 13(5) of PIT Regulations.</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26 September 2019, in the matter of dealings in illiquid stock options at Bombay Stock Exchange Limited imposing a total penalty of Rs 5,00,000 (Rupees Five Lakh Only) on Gian Finance Limited for the violation of Regulations 3 (a), (b), (c), (d) and 4 (1), 4 (2) (a) of PFUTP Regulations.</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27 September 2019, in respect of Kedia Industries Limited imposing a total penalty of Rs 1,00,000 (Rupees One Lakh Only) on Kedia Industries Limited for the violation of Circular No. CIR/OIAE/1/2013 dated April 17, 2013.</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27 September 2019, in the matter of Ybrant Digital Limited imposing a total penalty of Rs 8,00,000 (Rupees Eight Lakh Only) on Mundi Enterprise Limited for the violation of regulations 13(4A) r/w 13(5) of PIT Regulations.</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27 September 2019, in the matter of Ybrant Digital Limited imposing a total penalty of Rs 2,00,000 (Rupees Two Lakh Only) on Probus Capital Limited for the violation of regulations 13(4A) r/w 13(5) of PIT Regulations.</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27 September 2019, in the matter of Ybrant Digital Limited imposing a total penalty of Rs 3,00,000 (Rupees Three Lakh Only) on Karusala Venkata Subbarao for the violation of regulations 13(4A) r/w 13(5) of PIT Regulations.</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27 September 2019, in respect of Prrsaar Commodities Private Limited imposing a total penalty of Rs 5,00,000 (Rupees Five Lakh Only) on Prrsaar Commodities Private Limited for the violation of Section 23D of SCRA read with the provisions of SEBI Circular no. SMD/SED/CIR/93/23321 dated November 18, 1993.</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27 September 2019, in the matter of Modern Cement Industries Limited imposing a total penalty of Rs 2,00,000 (Rupees Two Lakh Only) on Modern Cement Industries Limited for the violation of Circulars dated June 03, 2011, August 13, 2012 and April 17, 2013.</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27 September 2019, in the matter of Som Distilleries and Breweries Limited imposing a total penalty of Rs 12,00,000 (Rupees Twelve Lakh Only) on Jagdish Kumar Arora and Som Distilleries Private Limited for the violation of Regulation 13(4A) read with 13(5) of the PIT Regulations.</w:t>
      </w:r>
    </w:p>
    <w:p w:rsidR="006C78AC" w:rsidRPr="006446D3" w:rsidRDefault="006C78AC"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27 September 2019, in the matter of Som Distilleries and Breweries Limited imposing a total penalty of Rs 2,00,000 (Rupees Two Lakh Only) on Aalok Deep Finance Pvt. Ltd. for the violation of Regulation 13(2A) of the PIT Regulations.</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color w:val="000000" w:themeColor="text1"/>
          <w:sz w:val="22"/>
          <w:szCs w:val="22"/>
          <w:lang w:eastAsia="en-IN" w:bidi="hi-IN"/>
        </w:rPr>
      </w:pPr>
      <w:r w:rsidRPr="006446D3">
        <w:rPr>
          <w:rFonts w:ascii="Palatino Linotype" w:hAnsi="Palatino Linotype"/>
          <w:color w:val="000000" w:themeColor="text1"/>
          <w:sz w:val="22"/>
          <w:szCs w:val="22"/>
          <w:lang w:eastAsia="en-IN" w:bidi="hi-IN"/>
        </w:rPr>
        <w:t>SEBI passed an order, dated 30 September 2019, in the matter of Regaliaa Realty Limited imposing a total penalty of Rs 4, 00,000 (Rupees Four Lakh Only) on D Sudhakara Reddy and D Deeptha Reddy for violation of Regulations 13(3), (4) (4A) read with 13(5) of the PIT Regulations and violation of Regulation 31(2) read with 31(3) of the SAST Regulations.</w:t>
      </w:r>
    </w:p>
    <w:p w:rsidR="0067306A" w:rsidRPr="006446D3" w:rsidRDefault="0067306A" w:rsidP="0067306A">
      <w:pPr>
        <w:pStyle w:val="ListParagraph"/>
        <w:spacing w:after="0" w:line="240" w:lineRule="auto"/>
        <w:ind w:left="0"/>
        <w:jc w:val="both"/>
        <w:rPr>
          <w:rFonts w:ascii="Palatino Linotype" w:hAnsi="Palatino Linotype"/>
          <w:color w:val="000000" w:themeColor="text1"/>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 xml:space="preserve">SEBI passed an order, dated 30 September 2019, in the matter of Trading Activities of Certain Entities in the Scrip of Pawansut Holdings Limited imposing a total penalty of Rs 15,00,000 (Rupees Fifteen Lakh Only) on Mr. Laxman Singh Satyapal under section 15A(b) of the SEBI Act, 1992 for the </w:t>
      </w:r>
      <w:r w:rsidRPr="006446D3">
        <w:rPr>
          <w:rFonts w:ascii="Palatino Linotype" w:hAnsi="Palatino Linotype"/>
          <w:sz w:val="22"/>
          <w:szCs w:val="22"/>
          <w:lang w:eastAsia="en-IN" w:bidi="hi-IN"/>
        </w:rPr>
        <w:lastRenderedPageBreak/>
        <w:t>violation of the provisions of Regulation 13(4) and 13(4A) read with Regulation 13(5) of SEBI (PIT) Regulations, 1992 and Regulation 29(2) read with Regulation 29(3) of SEBI (SAST) Regulations, 2011.</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color w:val="000000" w:themeColor="text1"/>
          <w:sz w:val="22"/>
          <w:szCs w:val="22"/>
          <w:lang w:eastAsia="en-IN" w:bidi="hi-IN"/>
        </w:rPr>
        <w:t>SEBI passed an order, dated 30 September 2019, imposed a total penalty of Rs 1,00,000  (Rupees One Lakh only) on M/s Global Cements Limited (previously known as M/s HMP Cements Limited) for the violation of the Circular No. CIR/OIAE/1/2013 dated April 17, 2013 by failing to obtain SCORES Authentication within 30 days from the date of issuance of the said Circular</w:t>
      </w:r>
      <w:r w:rsidRPr="006446D3">
        <w:rPr>
          <w:rFonts w:ascii="Palatino Linotype" w:hAnsi="Palatino Linotype"/>
          <w:sz w:val="22"/>
          <w:szCs w:val="22"/>
          <w:lang w:eastAsia="en-IN" w:bidi="hi-IN"/>
        </w:rPr>
        <w:t>.</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30 September 2019, in the matter of Channel Guide (India) Ltd. (Now known as Iris Mediaworks Ltd.) imposing a total penalty of Rs 41,00,000 (Rupees Forty One Lakh Only) on Manish Rathi and others for violation of various provisions of SEBI PFUTP Regulations, 2003 and provisions of SEBI Act.</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color w:val="000000" w:themeColor="text1"/>
          <w:sz w:val="22"/>
          <w:szCs w:val="22"/>
          <w:lang w:eastAsia="en-IN" w:bidi="hi-IN"/>
        </w:rPr>
      </w:pPr>
      <w:r w:rsidRPr="006446D3">
        <w:rPr>
          <w:rFonts w:ascii="Palatino Linotype" w:hAnsi="Palatino Linotype"/>
          <w:color w:val="000000" w:themeColor="text1"/>
          <w:sz w:val="22"/>
          <w:szCs w:val="22"/>
          <w:lang w:eastAsia="en-IN" w:bidi="hi-IN"/>
        </w:rPr>
        <w:t>SEBI passed an order, dated 30 September 2019, in the matter of Golden Legand Leasing &amp; Finance Limited imposing a total penalty of Rs 7,00,000 (Rupees Seven Lakh Only) on Ever Bright Trading Private Limited and others for violation of Regulation 3 (a), (b), (c), (d) and 4(1), 4(2)(a) &amp; (e) of the PFUTP Regulations.</w:t>
      </w:r>
    </w:p>
    <w:p w:rsidR="0067306A" w:rsidRPr="006446D3" w:rsidRDefault="0067306A" w:rsidP="0067306A">
      <w:pPr>
        <w:pStyle w:val="ListParagraph"/>
        <w:spacing w:after="0" w:line="240" w:lineRule="auto"/>
        <w:ind w:left="0"/>
        <w:jc w:val="both"/>
        <w:rPr>
          <w:rFonts w:ascii="Palatino Linotype" w:hAnsi="Palatino Linotype"/>
          <w:color w:val="000000" w:themeColor="text1"/>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30 September 2019, in the matter of Onward Technologies Limited imposing a total penalty of Rs.2,00,000 (Rupees Two Lakh only) on Harish Shantilal Mehta for the violation of Regulations 13(4), 13(4A) read with Regulation 13(5) of PIT Regulations.</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 xml:space="preserve"> SEBI passed an order, dated 30 September 2019, in the matter of Trading Activities of Certain Entities in the Scrip of Pawansut Holdings Limited imposing a total penalty of Rs Rs.16, 00,000 (Rupees Sixteen Lakh Only) on Meera Mishra for the violation of the provisions of Regulation 13(4A) read with Regulation 13(5) of SEBI (PIT) Regulations, and Regulation 29(2) read with Regulation 29(3) of SEBI (SAST) Regulations.</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30 September 2019, in the matter of Kailash Auto Finance Limited imposing a total penalty of Rs 28,00,000 (Rupees Twenty Eight Lakh Only) on Bholebaba Suppliers Private Limited and others for the violation of the provisions of Regulations 3(a), (b), (c), (d), 4(1) and 4(2)(a) &amp; (e) of “PFUTP Regulations” read with section 12A(a), (b) &amp; (c) of the SEBI Act.</w:t>
      </w:r>
    </w:p>
    <w:p w:rsidR="0067306A" w:rsidRPr="006446D3" w:rsidRDefault="0067306A" w:rsidP="0067306A">
      <w:pPr>
        <w:pStyle w:val="ListParagraph"/>
        <w:spacing w:after="0" w:line="240" w:lineRule="auto"/>
        <w:ind w:left="0"/>
        <w:jc w:val="both"/>
        <w:rPr>
          <w:rFonts w:ascii="Palatino Linotype" w:hAnsi="Palatino Linotype"/>
          <w:sz w:val="22"/>
          <w:szCs w:val="22"/>
          <w:lang w:eastAsia="en-IN" w:bidi="hi-IN"/>
        </w:rPr>
      </w:pPr>
    </w:p>
    <w:p w:rsidR="006C78AC" w:rsidRPr="006446D3" w:rsidRDefault="006C78AC" w:rsidP="006446D3">
      <w:pPr>
        <w:pStyle w:val="ListParagraph"/>
        <w:numPr>
          <w:ilvl w:val="0"/>
          <w:numId w:val="11"/>
        </w:numPr>
        <w:spacing w:after="0" w:line="240" w:lineRule="auto"/>
        <w:ind w:left="0"/>
        <w:jc w:val="both"/>
        <w:rPr>
          <w:rFonts w:ascii="Palatino Linotype" w:hAnsi="Palatino Linotype"/>
          <w:sz w:val="22"/>
          <w:szCs w:val="22"/>
          <w:lang w:eastAsia="en-IN" w:bidi="hi-IN"/>
        </w:rPr>
      </w:pPr>
      <w:r w:rsidRPr="006446D3">
        <w:rPr>
          <w:rFonts w:ascii="Palatino Linotype" w:hAnsi="Palatino Linotype"/>
          <w:sz w:val="22"/>
          <w:szCs w:val="22"/>
          <w:lang w:eastAsia="en-IN" w:bidi="hi-IN"/>
        </w:rPr>
        <w:t>SEBI passed an order, dated 30 September 2019, in the matter of 8K Miles Software Services Ltd imposing a total penalty of Rs. 18,00,000 (Rupees Eighteen Lakh Only) on Vijay Babulal Shah and others for the violation of Regulation 3(a), (b), (c),(d) and 4(1),4(2)(a) &amp; (e) of the PFUTP Regulations.</w:t>
      </w:r>
    </w:p>
    <w:p w:rsidR="006C78AC" w:rsidRDefault="006C78AC" w:rsidP="00C55787">
      <w:pPr>
        <w:tabs>
          <w:tab w:val="left" w:pos="8160"/>
        </w:tabs>
        <w:jc w:val="center"/>
        <w:rPr>
          <w:rFonts w:ascii="Palatino Linotype" w:hAnsi="Palatino Linotype"/>
          <w:b/>
          <w:sz w:val="40"/>
          <w:szCs w:val="40"/>
        </w:rPr>
      </w:pPr>
    </w:p>
    <w:p w:rsidR="00C55787" w:rsidRPr="00337845" w:rsidRDefault="00C55787" w:rsidP="00C55787">
      <w:pPr>
        <w:ind w:firstLine="360"/>
        <w:jc w:val="both"/>
        <w:rPr>
          <w:rFonts w:ascii="Garamond" w:hAnsi="Garamond"/>
          <w:i/>
          <w:sz w:val="22"/>
        </w:rPr>
      </w:pPr>
      <w:r w:rsidRPr="00337845">
        <w:rPr>
          <w:rFonts w:ascii="Garamond" w:hAnsi="Garamond"/>
          <w:b/>
          <w:i/>
          <w:sz w:val="18"/>
        </w:rPr>
        <w:t>Note: The information provided above is indicative only. For details, please log on to</w:t>
      </w:r>
    </w:p>
    <w:p w:rsidR="00C55787" w:rsidRDefault="00C55787" w:rsidP="00C55787">
      <w:pPr>
        <w:ind w:firstLine="360"/>
        <w:jc w:val="both"/>
      </w:pPr>
    </w:p>
    <w:p w:rsidR="00C55787" w:rsidRDefault="00AA77E4" w:rsidP="00C55787">
      <w:pPr>
        <w:ind w:firstLine="360"/>
        <w:jc w:val="both"/>
        <w:rPr>
          <w:rStyle w:val="Hyperlink"/>
          <w:rFonts w:ascii="Garamond" w:hAnsi="Garamond"/>
          <w:i/>
          <w:sz w:val="18"/>
        </w:rPr>
      </w:pPr>
      <w:hyperlink r:id="rId43" w:history="1">
        <w:r w:rsidR="00C55787" w:rsidRPr="00337845">
          <w:rPr>
            <w:rStyle w:val="Hyperlink"/>
            <w:rFonts w:ascii="Garamond" w:hAnsi="Garamond"/>
            <w:i/>
            <w:sz w:val="18"/>
          </w:rPr>
          <w:t>http://www.sebi.gov.in/sebiweb/home/list/2/9/0/1/Orders</w:t>
        </w:r>
      </w:hyperlink>
    </w:p>
    <w:p w:rsidR="00C55787" w:rsidRDefault="00C55787" w:rsidP="00C55787">
      <w:pPr>
        <w:rPr>
          <w:rStyle w:val="Hyperlink"/>
          <w:rFonts w:ascii="Garamond" w:hAnsi="Garamond"/>
          <w:i/>
          <w:sz w:val="18"/>
        </w:rPr>
      </w:pPr>
    </w:p>
    <w:p w:rsidR="00C55787" w:rsidRDefault="00C55787" w:rsidP="00C55787">
      <w:pPr>
        <w:spacing w:after="120"/>
        <w:rPr>
          <w:rStyle w:val="Hyperlink"/>
          <w:rFonts w:ascii="Garamond" w:hAnsi="Garamond"/>
          <w:i/>
          <w:sz w:val="18"/>
        </w:rPr>
      </w:pPr>
      <w:r w:rsidRPr="00186558">
        <w:rPr>
          <w:rFonts w:ascii="Garamond" w:hAnsi="Garamond" w:cs="Arial"/>
          <w:i/>
          <w:szCs w:val="32"/>
        </w:rPr>
        <w:t>Disclaimer: The summary has been prepared for the convenience of readers. In case of any ambiguity, please refer to the original order.</w:t>
      </w:r>
    </w:p>
    <w:p w:rsidR="00C55787" w:rsidRPr="00C55787" w:rsidRDefault="00C55787" w:rsidP="00C55787">
      <w:pPr>
        <w:tabs>
          <w:tab w:val="left" w:pos="8160"/>
        </w:tabs>
        <w:jc w:val="center"/>
        <w:rPr>
          <w:rFonts w:ascii="Palatino Linotype" w:hAnsi="Palatino Linotype"/>
          <w:b/>
          <w:sz w:val="40"/>
          <w:szCs w:val="40"/>
        </w:rPr>
      </w:pPr>
    </w:p>
    <w:sectPr w:rsidR="00C55787" w:rsidRPr="00C55787" w:rsidSect="00DF7E39">
      <w:headerReference w:type="even" r:id="rId44"/>
      <w:headerReference w:type="default" r:id="rId45"/>
      <w:footerReference w:type="even" r:id="rId46"/>
      <w:footerReference w:type="default" r:id="rId47"/>
      <w:headerReference w:type="first" r:id="rId48"/>
      <w:footerReference w:type="first" r:id="rId49"/>
      <w:pgSz w:w="11906" w:h="16838" w:code="9"/>
      <w:pgMar w:top="720" w:right="1080" w:bottom="720"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7E4" w:rsidRDefault="00AA77E4" w:rsidP="00E07645">
      <w:r>
        <w:separator/>
      </w:r>
    </w:p>
  </w:endnote>
  <w:endnote w:type="continuationSeparator" w:id="0">
    <w:p w:rsidR="00AA77E4" w:rsidRDefault="00AA77E4"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upee Foradian">
    <w:altName w:val="Malgun Gothic"/>
    <w:charset w:val="00"/>
    <w:family w:val="swiss"/>
    <w:pitch w:val="variable"/>
    <w:sig w:usb0="00000003" w:usb1="1000204A" w:usb2="00000000" w:usb3="00000000" w:csb0="00000001" w:csb1="00000000"/>
  </w:font>
  <w:font w:name="Rupe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02" w:rsidRDefault="00760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008751"/>
      <w:docPartObj>
        <w:docPartGallery w:val="Page Numbers (Bottom of Page)"/>
        <w:docPartUnique/>
      </w:docPartObj>
    </w:sdtPr>
    <w:sdtEndPr>
      <w:rPr>
        <w:color w:val="7F7F7F" w:themeColor="background1" w:themeShade="7F"/>
        <w:spacing w:val="60"/>
      </w:rPr>
    </w:sdtEndPr>
    <w:sdtContent>
      <w:p w:rsidR="00760102" w:rsidRDefault="007601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81E01">
          <w:rPr>
            <w:noProof/>
          </w:rPr>
          <w:t>1</w:t>
        </w:r>
        <w:r>
          <w:rPr>
            <w:noProof/>
          </w:rPr>
          <w:fldChar w:fldCharType="end"/>
        </w:r>
        <w:r>
          <w:t xml:space="preserve"> | </w:t>
        </w:r>
        <w:r>
          <w:rPr>
            <w:color w:val="7F7F7F" w:themeColor="background1" w:themeShade="7F"/>
            <w:spacing w:val="60"/>
          </w:rPr>
          <w:t>Page</w:t>
        </w:r>
      </w:p>
    </w:sdtContent>
  </w:sdt>
  <w:p w:rsidR="00760102" w:rsidRDefault="007601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02" w:rsidRDefault="00760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7E4" w:rsidRDefault="00AA77E4" w:rsidP="00E07645">
      <w:r>
        <w:separator/>
      </w:r>
    </w:p>
  </w:footnote>
  <w:footnote w:type="continuationSeparator" w:id="0">
    <w:p w:rsidR="00AA77E4" w:rsidRDefault="00AA77E4" w:rsidP="00E07645">
      <w:r>
        <w:continuationSeparator/>
      </w:r>
    </w:p>
  </w:footnote>
  <w:footnote w:id="1">
    <w:p w:rsidR="00760102" w:rsidRPr="003C03E0" w:rsidRDefault="00760102">
      <w:pPr>
        <w:pStyle w:val="FootnoteText"/>
        <w:rPr>
          <w:rFonts w:ascii="Palatino Linotype" w:hAnsi="Palatino Linotype"/>
          <w:b/>
        </w:rPr>
      </w:pPr>
      <w:r w:rsidRPr="003C03E0">
        <w:rPr>
          <w:rStyle w:val="FootnoteReference"/>
          <w:rFonts w:ascii="Palatino Linotype" w:hAnsi="Palatino Linotype"/>
          <w:b/>
        </w:rPr>
        <w:footnoteRef/>
      </w:r>
      <w:r w:rsidRPr="003C03E0">
        <w:rPr>
          <w:rFonts w:ascii="Palatino Linotype" w:hAnsi="Palatino Linotype"/>
          <w:b/>
        </w:rPr>
        <w:t xml:space="preserve"> </w:t>
      </w:r>
      <w:r w:rsidRPr="00F573F8">
        <w:rPr>
          <w:rFonts w:ascii="Palatino Linotype" w:hAnsi="Palatino Linotype"/>
          <w:b/>
        </w:rPr>
        <w:t>FICCI Capital Market Conference</w:t>
      </w:r>
      <w:r>
        <w:rPr>
          <w:rFonts w:ascii="Palatino Linotype" w:hAnsi="Palatino Linotype"/>
          <w:b/>
        </w:rPr>
        <w:t xml:space="preserve">, Mumbai </w:t>
      </w:r>
      <w:r w:rsidRPr="003C03E0">
        <w:rPr>
          <w:rFonts w:ascii="Palatino Linotype" w:hAnsi="Palatino Linotype"/>
          <w:b/>
        </w:rPr>
        <w:t xml:space="preserve">on </w:t>
      </w:r>
      <w:r w:rsidRPr="00F573F8">
        <w:rPr>
          <w:rFonts w:ascii="Palatino Linotype" w:hAnsi="Palatino Linotype"/>
          <w:b/>
        </w:rPr>
        <w:t>September 26, 2019</w:t>
      </w:r>
    </w:p>
  </w:footnote>
  <w:footnote w:id="2">
    <w:p w:rsidR="00760102" w:rsidRPr="003C03E0" w:rsidRDefault="00760102" w:rsidP="003C03E0">
      <w:pPr>
        <w:spacing w:line="0" w:lineRule="atLeast"/>
        <w:rPr>
          <w:b/>
        </w:rPr>
      </w:pPr>
      <w:r w:rsidRPr="003C03E0">
        <w:rPr>
          <w:rStyle w:val="FootnoteReference"/>
          <w:rFonts w:ascii="Palatino Linotype" w:hAnsi="Palatino Linotype"/>
          <w:b/>
          <w:sz w:val="20"/>
          <w:szCs w:val="20"/>
        </w:rPr>
        <w:footnoteRef/>
      </w:r>
      <w:r w:rsidRPr="003C03E0">
        <w:rPr>
          <w:rFonts w:ascii="Palatino Linotype" w:hAnsi="Palatino Linotype"/>
          <w:b/>
          <w:sz w:val="20"/>
          <w:szCs w:val="20"/>
        </w:rPr>
        <w:t xml:space="preserve"> </w:t>
      </w:r>
      <w:r>
        <w:rPr>
          <w:rFonts w:ascii="Palatino Linotype" w:hAnsi="Palatino Linotype"/>
          <w:b/>
          <w:sz w:val="20"/>
          <w:szCs w:val="20"/>
        </w:rPr>
        <w:t xml:space="preserve">At </w:t>
      </w:r>
      <w:r w:rsidRPr="00A25620">
        <w:rPr>
          <w:rFonts w:ascii="Palatino Linotype" w:hAnsi="Palatino Linotype"/>
          <w:b/>
          <w:sz w:val="20"/>
          <w:szCs w:val="20"/>
        </w:rPr>
        <w:t>ASSOCHAM India - National Conference</w:t>
      </w:r>
      <w:r>
        <w:rPr>
          <w:rFonts w:ascii="Palatino Linotype" w:hAnsi="Palatino Linotype"/>
          <w:b/>
          <w:sz w:val="20"/>
          <w:szCs w:val="20"/>
        </w:rPr>
        <w:t xml:space="preserve">, Mumbai on </w:t>
      </w:r>
      <w:r w:rsidRPr="00A25620">
        <w:rPr>
          <w:rFonts w:ascii="Palatino Linotype" w:hAnsi="Palatino Linotype"/>
          <w:b/>
          <w:sz w:val="20"/>
          <w:szCs w:val="20"/>
        </w:rPr>
        <w:t>September 4,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02" w:rsidRDefault="007601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02" w:rsidRDefault="007601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02" w:rsidRDefault="00760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5EC4"/>
    <w:multiLevelType w:val="hybridMultilevel"/>
    <w:tmpl w:val="C18CA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F776E"/>
    <w:multiLevelType w:val="multilevel"/>
    <w:tmpl w:val="04EF7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4F3696"/>
    <w:multiLevelType w:val="hybridMultilevel"/>
    <w:tmpl w:val="B21093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C2BBC"/>
    <w:multiLevelType w:val="hybridMultilevel"/>
    <w:tmpl w:val="0A1AF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F7B55"/>
    <w:multiLevelType w:val="hybridMultilevel"/>
    <w:tmpl w:val="9C3A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652EF"/>
    <w:multiLevelType w:val="multilevel"/>
    <w:tmpl w:val="CB8E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4780A"/>
    <w:multiLevelType w:val="multilevel"/>
    <w:tmpl w:val="799CDC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1AD537F"/>
    <w:multiLevelType w:val="hybridMultilevel"/>
    <w:tmpl w:val="00D8A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EB377F"/>
    <w:multiLevelType w:val="hybridMultilevel"/>
    <w:tmpl w:val="60B8C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BC59BD"/>
    <w:multiLevelType w:val="multilevel"/>
    <w:tmpl w:val="E5A2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5331BD"/>
    <w:multiLevelType w:val="hybridMultilevel"/>
    <w:tmpl w:val="989C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052BB0"/>
    <w:multiLevelType w:val="hybridMultilevel"/>
    <w:tmpl w:val="85360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475D20"/>
    <w:multiLevelType w:val="hybridMultilevel"/>
    <w:tmpl w:val="E302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6F73C1"/>
    <w:multiLevelType w:val="hybridMultilevel"/>
    <w:tmpl w:val="094CF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B4478"/>
    <w:multiLevelType w:val="hybridMultilevel"/>
    <w:tmpl w:val="D4BA7F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05A219C"/>
    <w:multiLevelType w:val="hybridMultilevel"/>
    <w:tmpl w:val="0B5AD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6D5320"/>
    <w:multiLevelType w:val="multilevel"/>
    <w:tmpl w:val="396D5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7F43C1"/>
    <w:multiLevelType w:val="hybridMultilevel"/>
    <w:tmpl w:val="2B7E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D630D9"/>
    <w:multiLevelType w:val="hybridMultilevel"/>
    <w:tmpl w:val="57084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653B35"/>
    <w:multiLevelType w:val="hybridMultilevel"/>
    <w:tmpl w:val="23445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E373B3"/>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0477FA3"/>
    <w:multiLevelType w:val="multilevel"/>
    <w:tmpl w:val="50477F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124E64"/>
    <w:multiLevelType w:val="hybridMultilevel"/>
    <w:tmpl w:val="3A2E6E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19394B"/>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367C0"/>
    <w:multiLevelType w:val="hybridMultilevel"/>
    <w:tmpl w:val="E98C5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23545B"/>
    <w:multiLevelType w:val="hybridMultilevel"/>
    <w:tmpl w:val="DCF8AA26"/>
    <w:lvl w:ilvl="0" w:tplc="04090013">
      <w:start w:val="1"/>
      <w:numFmt w:val="upperRoman"/>
      <w:lvlText w:val="%1."/>
      <w:lvlJc w:val="right"/>
      <w:pPr>
        <w:ind w:left="780" w:hanging="360"/>
      </w:pPr>
    </w:lvl>
    <w:lvl w:ilvl="1" w:tplc="FE640B50">
      <w:start w:val="1"/>
      <w:numFmt w:val="lowerLetter"/>
      <w:lvlText w:val="%2."/>
      <w:lvlJc w:val="left"/>
      <w:pPr>
        <w:ind w:left="1860" w:hanging="720"/>
      </w:pPr>
      <w:rPr>
        <w:rFonts w:hint="default"/>
      </w:rPr>
    </w:lvl>
    <w:lvl w:ilvl="2" w:tplc="06C8892A">
      <w:start w:val="1"/>
      <w:numFmt w:val="decimal"/>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5B7D105C"/>
    <w:multiLevelType w:val="multilevel"/>
    <w:tmpl w:val="12A0F58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BD062C2"/>
    <w:multiLevelType w:val="hybridMultilevel"/>
    <w:tmpl w:val="C2FA8FDC"/>
    <w:lvl w:ilvl="0" w:tplc="50589606">
      <w:start w:val="1"/>
      <w:numFmt w:val="decimal"/>
      <w:lvlText w:val="%1."/>
      <w:lvlJc w:val="left"/>
    </w:lvl>
    <w:lvl w:ilvl="1" w:tplc="06DC9D30">
      <w:start w:val="1"/>
      <w:numFmt w:val="upperLetter"/>
      <w:lvlText w:val="%2."/>
      <w:lvlJc w:val="left"/>
    </w:lvl>
    <w:lvl w:ilvl="2" w:tplc="B4BC2A44">
      <w:numFmt w:val="decimal"/>
      <w:lvlText w:val=""/>
      <w:lvlJc w:val="left"/>
    </w:lvl>
    <w:lvl w:ilvl="3" w:tplc="D150AA82">
      <w:numFmt w:val="decimal"/>
      <w:lvlText w:val=""/>
      <w:lvlJc w:val="left"/>
    </w:lvl>
    <w:lvl w:ilvl="4" w:tplc="DA1E63B2">
      <w:numFmt w:val="decimal"/>
      <w:lvlText w:val=""/>
      <w:lvlJc w:val="left"/>
    </w:lvl>
    <w:lvl w:ilvl="5" w:tplc="144045FE">
      <w:numFmt w:val="decimal"/>
      <w:lvlText w:val=""/>
      <w:lvlJc w:val="left"/>
    </w:lvl>
    <w:lvl w:ilvl="6" w:tplc="ADE23CA0">
      <w:numFmt w:val="decimal"/>
      <w:lvlText w:val=""/>
      <w:lvlJc w:val="left"/>
    </w:lvl>
    <w:lvl w:ilvl="7" w:tplc="52EA6324">
      <w:numFmt w:val="decimal"/>
      <w:lvlText w:val=""/>
      <w:lvlJc w:val="left"/>
    </w:lvl>
    <w:lvl w:ilvl="8" w:tplc="E85CAEF4">
      <w:numFmt w:val="decimal"/>
      <w:lvlText w:val=""/>
      <w:lvlJc w:val="left"/>
    </w:lvl>
  </w:abstractNum>
  <w:abstractNum w:abstractNumId="29">
    <w:nsid w:val="5BD42F73"/>
    <w:multiLevelType w:val="multilevel"/>
    <w:tmpl w:val="232A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CB9623F"/>
    <w:multiLevelType w:val="hybridMultilevel"/>
    <w:tmpl w:val="CED09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620293"/>
    <w:multiLevelType w:val="hybridMultilevel"/>
    <w:tmpl w:val="C21AD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0425CC"/>
    <w:multiLevelType w:val="hybridMultilevel"/>
    <w:tmpl w:val="5EDCA7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3A4F57"/>
    <w:multiLevelType w:val="hybridMultilevel"/>
    <w:tmpl w:val="170C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621587"/>
    <w:multiLevelType w:val="hybridMultilevel"/>
    <w:tmpl w:val="05B67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5F1A65"/>
    <w:multiLevelType w:val="hybridMultilevel"/>
    <w:tmpl w:val="A7DC2618"/>
    <w:lvl w:ilvl="0" w:tplc="B42C89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A425CD"/>
    <w:multiLevelType w:val="multilevel"/>
    <w:tmpl w:val="6FA425C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07F167C"/>
    <w:multiLevelType w:val="hybridMultilevel"/>
    <w:tmpl w:val="777EA38E"/>
    <w:lvl w:ilvl="0" w:tplc="04090015">
      <w:start w:val="1"/>
      <w:numFmt w:val="upperLetter"/>
      <w:lvlText w:val="%1."/>
      <w:lvlJc w:val="left"/>
    </w:lvl>
    <w:lvl w:ilvl="1" w:tplc="06DC9D30">
      <w:start w:val="1"/>
      <w:numFmt w:val="upperLetter"/>
      <w:lvlText w:val="%2."/>
      <w:lvlJc w:val="left"/>
    </w:lvl>
    <w:lvl w:ilvl="2" w:tplc="B4BC2A44">
      <w:numFmt w:val="decimal"/>
      <w:lvlText w:val=""/>
      <w:lvlJc w:val="left"/>
    </w:lvl>
    <w:lvl w:ilvl="3" w:tplc="D150AA82">
      <w:numFmt w:val="decimal"/>
      <w:lvlText w:val=""/>
      <w:lvlJc w:val="left"/>
    </w:lvl>
    <w:lvl w:ilvl="4" w:tplc="DA1E63B2">
      <w:numFmt w:val="decimal"/>
      <w:lvlText w:val=""/>
      <w:lvlJc w:val="left"/>
    </w:lvl>
    <w:lvl w:ilvl="5" w:tplc="144045FE">
      <w:numFmt w:val="decimal"/>
      <w:lvlText w:val=""/>
      <w:lvlJc w:val="left"/>
    </w:lvl>
    <w:lvl w:ilvl="6" w:tplc="ADE23CA0">
      <w:numFmt w:val="decimal"/>
      <w:lvlText w:val=""/>
      <w:lvlJc w:val="left"/>
    </w:lvl>
    <w:lvl w:ilvl="7" w:tplc="52EA6324">
      <w:numFmt w:val="decimal"/>
      <w:lvlText w:val=""/>
      <w:lvlJc w:val="left"/>
    </w:lvl>
    <w:lvl w:ilvl="8" w:tplc="E85CAEF4">
      <w:numFmt w:val="decimal"/>
      <w:lvlText w:val=""/>
      <w:lvlJc w:val="left"/>
    </w:lvl>
  </w:abstractNum>
  <w:abstractNum w:abstractNumId="38">
    <w:nsid w:val="72D814B4"/>
    <w:multiLevelType w:val="hybridMultilevel"/>
    <w:tmpl w:val="F7340A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D46ADF"/>
    <w:multiLevelType w:val="hybridMultilevel"/>
    <w:tmpl w:val="9F285872"/>
    <w:lvl w:ilvl="0" w:tplc="9808F264">
      <w:start w:val="1"/>
      <w:numFmt w:val="upperLetter"/>
      <w:lvlText w:val="%1."/>
      <w:lvlJc w:val="left"/>
      <w:pPr>
        <w:ind w:left="360" w:hanging="360"/>
      </w:pPr>
      <w:rPr>
        <w:rFonts w:hint="default"/>
        <w:color w:val="auto"/>
      </w:rPr>
    </w:lvl>
    <w:lvl w:ilvl="1" w:tplc="978C4A5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9AF06CF"/>
    <w:multiLevelType w:val="hybridMultilevel"/>
    <w:tmpl w:val="B01A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CC6332"/>
    <w:multiLevelType w:val="hybridMultilevel"/>
    <w:tmpl w:val="6FBAA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24"/>
  </w:num>
  <w:num w:numId="3">
    <w:abstractNumId w:val="18"/>
  </w:num>
  <w:num w:numId="4">
    <w:abstractNumId w:val="8"/>
  </w:num>
  <w:num w:numId="5">
    <w:abstractNumId w:val="34"/>
  </w:num>
  <w:num w:numId="6">
    <w:abstractNumId w:val="15"/>
  </w:num>
  <w:num w:numId="7">
    <w:abstractNumId w:val="41"/>
  </w:num>
  <w:num w:numId="8">
    <w:abstractNumId w:val="19"/>
  </w:num>
  <w:num w:numId="9">
    <w:abstractNumId w:val="25"/>
  </w:num>
  <w:num w:numId="10">
    <w:abstractNumId w:val="17"/>
  </w:num>
  <w:num w:numId="11">
    <w:abstractNumId w:val="14"/>
  </w:num>
  <w:num w:numId="12">
    <w:abstractNumId w:val="7"/>
  </w:num>
  <w:num w:numId="13">
    <w:abstractNumId w:val="12"/>
  </w:num>
  <w:num w:numId="14">
    <w:abstractNumId w:val="30"/>
  </w:num>
  <w:num w:numId="15">
    <w:abstractNumId w:val="4"/>
  </w:num>
  <w:num w:numId="16">
    <w:abstractNumId w:val="31"/>
  </w:num>
  <w:num w:numId="17">
    <w:abstractNumId w:val="28"/>
  </w:num>
  <w:num w:numId="18">
    <w:abstractNumId w:val="37"/>
  </w:num>
  <w:num w:numId="19">
    <w:abstractNumId w:val="26"/>
  </w:num>
  <w:num w:numId="20">
    <w:abstractNumId w:val="3"/>
  </w:num>
  <w:num w:numId="21">
    <w:abstractNumId w:val="2"/>
  </w:num>
  <w:num w:numId="22">
    <w:abstractNumId w:val="13"/>
  </w:num>
  <w:num w:numId="23">
    <w:abstractNumId w:val="23"/>
  </w:num>
  <w:num w:numId="24">
    <w:abstractNumId w:val="32"/>
  </w:num>
  <w:num w:numId="25">
    <w:abstractNumId w:val="38"/>
  </w:num>
  <w:num w:numId="26">
    <w:abstractNumId w:val="40"/>
  </w:num>
  <w:num w:numId="27">
    <w:abstractNumId w:val="0"/>
  </w:num>
  <w:num w:numId="28">
    <w:abstractNumId w:val="22"/>
  </w:num>
  <w:num w:numId="29">
    <w:abstractNumId w:val="36"/>
  </w:num>
  <w:num w:numId="30">
    <w:abstractNumId w:val="27"/>
  </w:num>
  <w:num w:numId="31">
    <w:abstractNumId w:val="1"/>
  </w:num>
  <w:num w:numId="32">
    <w:abstractNumId w:val="16"/>
  </w:num>
  <w:num w:numId="33">
    <w:abstractNumId w:val="21"/>
  </w:num>
  <w:num w:numId="34">
    <w:abstractNumId w:val="10"/>
  </w:num>
  <w:num w:numId="35">
    <w:abstractNumId w:val="11"/>
  </w:num>
  <w:num w:numId="36">
    <w:abstractNumId w:val="33"/>
  </w:num>
  <w:num w:numId="37">
    <w:abstractNumId w:val="35"/>
  </w:num>
  <w:num w:numId="38">
    <w:abstractNumId w:val="6"/>
  </w:num>
  <w:num w:numId="39">
    <w:abstractNumId w:val="5"/>
  </w:num>
  <w:num w:numId="40">
    <w:abstractNumId w:val="29"/>
  </w:num>
  <w:num w:numId="41">
    <w:abstractNumId w:val="9"/>
  </w:num>
  <w:num w:numId="4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F02"/>
    <w:rsid w:val="00001102"/>
    <w:rsid w:val="000012F5"/>
    <w:rsid w:val="0000238B"/>
    <w:rsid w:val="00002F15"/>
    <w:rsid w:val="000052BB"/>
    <w:rsid w:val="00005830"/>
    <w:rsid w:val="000129F5"/>
    <w:rsid w:val="00013A01"/>
    <w:rsid w:val="000145C6"/>
    <w:rsid w:val="000161B3"/>
    <w:rsid w:val="000211A2"/>
    <w:rsid w:val="000243DB"/>
    <w:rsid w:val="000254CD"/>
    <w:rsid w:val="00026D29"/>
    <w:rsid w:val="0003061B"/>
    <w:rsid w:val="000346B6"/>
    <w:rsid w:val="00035307"/>
    <w:rsid w:val="00035951"/>
    <w:rsid w:val="0003625D"/>
    <w:rsid w:val="00041693"/>
    <w:rsid w:val="00043C9A"/>
    <w:rsid w:val="00043F40"/>
    <w:rsid w:val="00045B3E"/>
    <w:rsid w:val="00046401"/>
    <w:rsid w:val="00047715"/>
    <w:rsid w:val="000507E2"/>
    <w:rsid w:val="00050DB7"/>
    <w:rsid w:val="00055162"/>
    <w:rsid w:val="00062D7C"/>
    <w:rsid w:val="00063FF5"/>
    <w:rsid w:val="00066531"/>
    <w:rsid w:val="00071658"/>
    <w:rsid w:val="0007274D"/>
    <w:rsid w:val="000730EC"/>
    <w:rsid w:val="0007312C"/>
    <w:rsid w:val="00073DF2"/>
    <w:rsid w:val="00075391"/>
    <w:rsid w:val="0007759D"/>
    <w:rsid w:val="00081D7A"/>
    <w:rsid w:val="00082028"/>
    <w:rsid w:val="00082CA8"/>
    <w:rsid w:val="000847BB"/>
    <w:rsid w:val="00085A8E"/>
    <w:rsid w:val="0008687B"/>
    <w:rsid w:val="00086BF6"/>
    <w:rsid w:val="00087B33"/>
    <w:rsid w:val="00090A9B"/>
    <w:rsid w:val="00090DEF"/>
    <w:rsid w:val="00091168"/>
    <w:rsid w:val="00091E37"/>
    <w:rsid w:val="000946C2"/>
    <w:rsid w:val="0009614C"/>
    <w:rsid w:val="000A047F"/>
    <w:rsid w:val="000A142F"/>
    <w:rsid w:val="000A19FF"/>
    <w:rsid w:val="000A34B6"/>
    <w:rsid w:val="000A37CE"/>
    <w:rsid w:val="000A47E6"/>
    <w:rsid w:val="000A4D70"/>
    <w:rsid w:val="000A7141"/>
    <w:rsid w:val="000B0A37"/>
    <w:rsid w:val="000B0DD6"/>
    <w:rsid w:val="000B27CD"/>
    <w:rsid w:val="000B4450"/>
    <w:rsid w:val="000B5449"/>
    <w:rsid w:val="000B5935"/>
    <w:rsid w:val="000B6B00"/>
    <w:rsid w:val="000C02A3"/>
    <w:rsid w:val="000C0C5B"/>
    <w:rsid w:val="000C1CD7"/>
    <w:rsid w:val="000C23CE"/>
    <w:rsid w:val="000C3C7D"/>
    <w:rsid w:val="000C5949"/>
    <w:rsid w:val="000C5AA9"/>
    <w:rsid w:val="000C6063"/>
    <w:rsid w:val="000C677F"/>
    <w:rsid w:val="000C69C1"/>
    <w:rsid w:val="000D2FD5"/>
    <w:rsid w:val="000D4C7F"/>
    <w:rsid w:val="000E03A6"/>
    <w:rsid w:val="000E0833"/>
    <w:rsid w:val="000E1FA1"/>
    <w:rsid w:val="000E33A1"/>
    <w:rsid w:val="000E3746"/>
    <w:rsid w:val="000E3A95"/>
    <w:rsid w:val="000E46BB"/>
    <w:rsid w:val="000E4795"/>
    <w:rsid w:val="000E4C9B"/>
    <w:rsid w:val="000E7329"/>
    <w:rsid w:val="000E76D0"/>
    <w:rsid w:val="000F0612"/>
    <w:rsid w:val="000F3F0C"/>
    <w:rsid w:val="000F4124"/>
    <w:rsid w:val="000F464D"/>
    <w:rsid w:val="000F55A8"/>
    <w:rsid w:val="000F5AAF"/>
    <w:rsid w:val="000F6775"/>
    <w:rsid w:val="000F7C8D"/>
    <w:rsid w:val="000F7F35"/>
    <w:rsid w:val="00100264"/>
    <w:rsid w:val="00100F24"/>
    <w:rsid w:val="00102392"/>
    <w:rsid w:val="001032F6"/>
    <w:rsid w:val="001041E6"/>
    <w:rsid w:val="0010444E"/>
    <w:rsid w:val="001048AC"/>
    <w:rsid w:val="00106806"/>
    <w:rsid w:val="0011033C"/>
    <w:rsid w:val="00110766"/>
    <w:rsid w:val="00112036"/>
    <w:rsid w:val="00112407"/>
    <w:rsid w:val="00113363"/>
    <w:rsid w:val="00114AC5"/>
    <w:rsid w:val="00114B6F"/>
    <w:rsid w:val="001155EB"/>
    <w:rsid w:val="001164CA"/>
    <w:rsid w:val="001212CB"/>
    <w:rsid w:val="00123543"/>
    <w:rsid w:val="00125AF5"/>
    <w:rsid w:val="0012648B"/>
    <w:rsid w:val="00126726"/>
    <w:rsid w:val="001279AE"/>
    <w:rsid w:val="00130027"/>
    <w:rsid w:val="00130306"/>
    <w:rsid w:val="00132568"/>
    <w:rsid w:val="00134BC1"/>
    <w:rsid w:val="00135041"/>
    <w:rsid w:val="001357A7"/>
    <w:rsid w:val="001363E8"/>
    <w:rsid w:val="001376EC"/>
    <w:rsid w:val="00140090"/>
    <w:rsid w:val="001404C9"/>
    <w:rsid w:val="00141FC6"/>
    <w:rsid w:val="00142329"/>
    <w:rsid w:val="00143013"/>
    <w:rsid w:val="001450AE"/>
    <w:rsid w:val="00146B24"/>
    <w:rsid w:val="00146D0E"/>
    <w:rsid w:val="00150006"/>
    <w:rsid w:val="00151C67"/>
    <w:rsid w:val="001523E1"/>
    <w:rsid w:val="00153CF4"/>
    <w:rsid w:val="00154F31"/>
    <w:rsid w:val="00160183"/>
    <w:rsid w:val="00160768"/>
    <w:rsid w:val="00160DEC"/>
    <w:rsid w:val="0016171E"/>
    <w:rsid w:val="00164B80"/>
    <w:rsid w:val="0016654B"/>
    <w:rsid w:val="001667BE"/>
    <w:rsid w:val="00166B5E"/>
    <w:rsid w:val="00170534"/>
    <w:rsid w:val="0017198F"/>
    <w:rsid w:val="001720CD"/>
    <w:rsid w:val="0017288A"/>
    <w:rsid w:val="00175031"/>
    <w:rsid w:val="00175977"/>
    <w:rsid w:val="00175A49"/>
    <w:rsid w:val="00177824"/>
    <w:rsid w:val="00177C4A"/>
    <w:rsid w:val="0018049A"/>
    <w:rsid w:val="0018197C"/>
    <w:rsid w:val="00182965"/>
    <w:rsid w:val="0018378C"/>
    <w:rsid w:val="001847A1"/>
    <w:rsid w:val="00184C5B"/>
    <w:rsid w:val="00186E61"/>
    <w:rsid w:val="001912C3"/>
    <w:rsid w:val="00191B9C"/>
    <w:rsid w:val="001932A2"/>
    <w:rsid w:val="00193EFB"/>
    <w:rsid w:val="001961E8"/>
    <w:rsid w:val="00196267"/>
    <w:rsid w:val="0019787A"/>
    <w:rsid w:val="001A054F"/>
    <w:rsid w:val="001A2361"/>
    <w:rsid w:val="001A3018"/>
    <w:rsid w:val="001A5A37"/>
    <w:rsid w:val="001A5E17"/>
    <w:rsid w:val="001A61B6"/>
    <w:rsid w:val="001A697A"/>
    <w:rsid w:val="001A7DC2"/>
    <w:rsid w:val="001B1D3E"/>
    <w:rsid w:val="001B2693"/>
    <w:rsid w:val="001B279D"/>
    <w:rsid w:val="001B44E2"/>
    <w:rsid w:val="001B4C10"/>
    <w:rsid w:val="001B5BFF"/>
    <w:rsid w:val="001B7218"/>
    <w:rsid w:val="001C0933"/>
    <w:rsid w:val="001C0BB1"/>
    <w:rsid w:val="001C2441"/>
    <w:rsid w:val="001C3230"/>
    <w:rsid w:val="001C5DA4"/>
    <w:rsid w:val="001C637A"/>
    <w:rsid w:val="001C7B26"/>
    <w:rsid w:val="001C7B28"/>
    <w:rsid w:val="001D04F5"/>
    <w:rsid w:val="001D1729"/>
    <w:rsid w:val="001D2CA3"/>
    <w:rsid w:val="001D4801"/>
    <w:rsid w:val="001D52A6"/>
    <w:rsid w:val="001D5BBC"/>
    <w:rsid w:val="001D68DB"/>
    <w:rsid w:val="001D7AA4"/>
    <w:rsid w:val="001E1254"/>
    <w:rsid w:val="001E2A24"/>
    <w:rsid w:val="001E4032"/>
    <w:rsid w:val="001E4F7E"/>
    <w:rsid w:val="001E5152"/>
    <w:rsid w:val="001E51C8"/>
    <w:rsid w:val="001E722D"/>
    <w:rsid w:val="001E7A6D"/>
    <w:rsid w:val="001F078D"/>
    <w:rsid w:val="001F19F8"/>
    <w:rsid w:val="001F45DC"/>
    <w:rsid w:val="001F4744"/>
    <w:rsid w:val="001F4F5A"/>
    <w:rsid w:val="001F5922"/>
    <w:rsid w:val="001F707A"/>
    <w:rsid w:val="002005C8"/>
    <w:rsid w:val="00200742"/>
    <w:rsid w:val="00200C72"/>
    <w:rsid w:val="00201047"/>
    <w:rsid w:val="002013AA"/>
    <w:rsid w:val="00201776"/>
    <w:rsid w:val="00201C91"/>
    <w:rsid w:val="00201F92"/>
    <w:rsid w:val="00202156"/>
    <w:rsid w:val="00203447"/>
    <w:rsid w:val="00204BFE"/>
    <w:rsid w:val="002058D4"/>
    <w:rsid w:val="00206786"/>
    <w:rsid w:val="00207654"/>
    <w:rsid w:val="002101C9"/>
    <w:rsid w:val="00210EF0"/>
    <w:rsid w:val="00212565"/>
    <w:rsid w:val="002135D8"/>
    <w:rsid w:val="0021539B"/>
    <w:rsid w:val="00217822"/>
    <w:rsid w:val="0022096F"/>
    <w:rsid w:val="00220AB1"/>
    <w:rsid w:val="00220C24"/>
    <w:rsid w:val="00222713"/>
    <w:rsid w:val="00223671"/>
    <w:rsid w:val="002240ED"/>
    <w:rsid w:val="00224F9F"/>
    <w:rsid w:val="00226BF6"/>
    <w:rsid w:val="002271C2"/>
    <w:rsid w:val="00227328"/>
    <w:rsid w:val="00227721"/>
    <w:rsid w:val="0023129A"/>
    <w:rsid w:val="002319FF"/>
    <w:rsid w:val="002322F9"/>
    <w:rsid w:val="002325B0"/>
    <w:rsid w:val="00233575"/>
    <w:rsid w:val="00234E67"/>
    <w:rsid w:val="00235B23"/>
    <w:rsid w:val="00236954"/>
    <w:rsid w:val="0023700B"/>
    <w:rsid w:val="002405F0"/>
    <w:rsid w:val="00240828"/>
    <w:rsid w:val="00240D60"/>
    <w:rsid w:val="002421DD"/>
    <w:rsid w:val="00243068"/>
    <w:rsid w:val="00243434"/>
    <w:rsid w:val="002447CE"/>
    <w:rsid w:val="00244EAF"/>
    <w:rsid w:val="002450DA"/>
    <w:rsid w:val="00245553"/>
    <w:rsid w:val="002468DB"/>
    <w:rsid w:val="00247214"/>
    <w:rsid w:val="002479A0"/>
    <w:rsid w:val="00250D94"/>
    <w:rsid w:val="00250FFA"/>
    <w:rsid w:val="00251FF1"/>
    <w:rsid w:val="002520EA"/>
    <w:rsid w:val="002541C6"/>
    <w:rsid w:val="0025439E"/>
    <w:rsid w:val="00256242"/>
    <w:rsid w:val="002576F1"/>
    <w:rsid w:val="002647AE"/>
    <w:rsid w:val="00265D83"/>
    <w:rsid w:val="00267A7C"/>
    <w:rsid w:val="00271F75"/>
    <w:rsid w:val="002721CB"/>
    <w:rsid w:val="0027231F"/>
    <w:rsid w:val="00272D3E"/>
    <w:rsid w:val="00272F12"/>
    <w:rsid w:val="00275096"/>
    <w:rsid w:val="0027517B"/>
    <w:rsid w:val="002770A6"/>
    <w:rsid w:val="002776BE"/>
    <w:rsid w:val="00280CFD"/>
    <w:rsid w:val="002818B2"/>
    <w:rsid w:val="00283974"/>
    <w:rsid w:val="00284BC2"/>
    <w:rsid w:val="002852AB"/>
    <w:rsid w:val="00285F0C"/>
    <w:rsid w:val="00286614"/>
    <w:rsid w:val="00287B4A"/>
    <w:rsid w:val="002911AB"/>
    <w:rsid w:val="00294843"/>
    <w:rsid w:val="00294B3E"/>
    <w:rsid w:val="002959F3"/>
    <w:rsid w:val="00295C58"/>
    <w:rsid w:val="00295F4F"/>
    <w:rsid w:val="00296BD4"/>
    <w:rsid w:val="002A0261"/>
    <w:rsid w:val="002A25B6"/>
    <w:rsid w:val="002A2BB0"/>
    <w:rsid w:val="002A51F7"/>
    <w:rsid w:val="002A54FF"/>
    <w:rsid w:val="002A6544"/>
    <w:rsid w:val="002A7477"/>
    <w:rsid w:val="002A7A64"/>
    <w:rsid w:val="002A7D0C"/>
    <w:rsid w:val="002B0029"/>
    <w:rsid w:val="002B0E62"/>
    <w:rsid w:val="002B13B8"/>
    <w:rsid w:val="002B2515"/>
    <w:rsid w:val="002B2FED"/>
    <w:rsid w:val="002B402D"/>
    <w:rsid w:val="002B6143"/>
    <w:rsid w:val="002B769A"/>
    <w:rsid w:val="002C0CF3"/>
    <w:rsid w:val="002C2400"/>
    <w:rsid w:val="002C2CFE"/>
    <w:rsid w:val="002C3645"/>
    <w:rsid w:val="002C4D20"/>
    <w:rsid w:val="002C4ED2"/>
    <w:rsid w:val="002C54CA"/>
    <w:rsid w:val="002C6429"/>
    <w:rsid w:val="002C6FCE"/>
    <w:rsid w:val="002C7A76"/>
    <w:rsid w:val="002C7D3D"/>
    <w:rsid w:val="002D09D6"/>
    <w:rsid w:val="002D0AE7"/>
    <w:rsid w:val="002D2DC8"/>
    <w:rsid w:val="002D3E7C"/>
    <w:rsid w:val="002D6708"/>
    <w:rsid w:val="002E006D"/>
    <w:rsid w:val="002E11AF"/>
    <w:rsid w:val="002E154E"/>
    <w:rsid w:val="002E18B1"/>
    <w:rsid w:val="002E2589"/>
    <w:rsid w:val="002E26CF"/>
    <w:rsid w:val="002E2C31"/>
    <w:rsid w:val="002E3090"/>
    <w:rsid w:val="002E41FF"/>
    <w:rsid w:val="002E627C"/>
    <w:rsid w:val="002E687D"/>
    <w:rsid w:val="002E7C98"/>
    <w:rsid w:val="002F2903"/>
    <w:rsid w:val="002F2F21"/>
    <w:rsid w:val="002F41CD"/>
    <w:rsid w:val="002F70EB"/>
    <w:rsid w:val="002F71DF"/>
    <w:rsid w:val="0030004F"/>
    <w:rsid w:val="00300262"/>
    <w:rsid w:val="00301C6A"/>
    <w:rsid w:val="0030208E"/>
    <w:rsid w:val="00302A9D"/>
    <w:rsid w:val="00304C7D"/>
    <w:rsid w:val="00305062"/>
    <w:rsid w:val="0030548A"/>
    <w:rsid w:val="00305806"/>
    <w:rsid w:val="003064C4"/>
    <w:rsid w:val="00306646"/>
    <w:rsid w:val="00310322"/>
    <w:rsid w:val="00310D4F"/>
    <w:rsid w:val="00312D42"/>
    <w:rsid w:val="00313F0E"/>
    <w:rsid w:val="00314ED5"/>
    <w:rsid w:val="00315CB7"/>
    <w:rsid w:val="0031610E"/>
    <w:rsid w:val="003162C3"/>
    <w:rsid w:val="00316405"/>
    <w:rsid w:val="00317D01"/>
    <w:rsid w:val="0032036A"/>
    <w:rsid w:val="003219BE"/>
    <w:rsid w:val="0032394B"/>
    <w:rsid w:val="00325395"/>
    <w:rsid w:val="00326A7E"/>
    <w:rsid w:val="0033096F"/>
    <w:rsid w:val="00332124"/>
    <w:rsid w:val="003321CF"/>
    <w:rsid w:val="003327D8"/>
    <w:rsid w:val="00333281"/>
    <w:rsid w:val="00334455"/>
    <w:rsid w:val="00334516"/>
    <w:rsid w:val="003364B9"/>
    <w:rsid w:val="00336FC3"/>
    <w:rsid w:val="00341FCF"/>
    <w:rsid w:val="00342BD1"/>
    <w:rsid w:val="0034368F"/>
    <w:rsid w:val="0034385B"/>
    <w:rsid w:val="003456FD"/>
    <w:rsid w:val="00351582"/>
    <w:rsid w:val="00352307"/>
    <w:rsid w:val="003557AC"/>
    <w:rsid w:val="003570AD"/>
    <w:rsid w:val="003576D8"/>
    <w:rsid w:val="0035797F"/>
    <w:rsid w:val="00357F0F"/>
    <w:rsid w:val="00360032"/>
    <w:rsid w:val="00360FA1"/>
    <w:rsid w:val="0036332D"/>
    <w:rsid w:val="003671F5"/>
    <w:rsid w:val="00371E4B"/>
    <w:rsid w:val="00372242"/>
    <w:rsid w:val="00373978"/>
    <w:rsid w:val="0037442E"/>
    <w:rsid w:val="003745A0"/>
    <w:rsid w:val="00374E1A"/>
    <w:rsid w:val="00375172"/>
    <w:rsid w:val="003769B7"/>
    <w:rsid w:val="00376E21"/>
    <w:rsid w:val="00381D19"/>
    <w:rsid w:val="00383DBF"/>
    <w:rsid w:val="00383FFB"/>
    <w:rsid w:val="00384E16"/>
    <w:rsid w:val="00387126"/>
    <w:rsid w:val="00387426"/>
    <w:rsid w:val="0038777E"/>
    <w:rsid w:val="003903F3"/>
    <w:rsid w:val="003909F6"/>
    <w:rsid w:val="003913C8"/>
    <w:rsid w:val="00391EC4"/>
    <w:rsid w:val="00395300"/>
    <w:rsid w:val="00395B40"/>
    <w:rsid w:val="00396038"/>
    <w:rsid w:val="0039654D"/>
    <w:rsid w:val="0039732B"/>
    <w:rsid w:val="00397E98"/>
    <w:rsid w:val="003A17FF"/>
    <w:rsid w:val="003A21E5"/>
    <w:rsid w:val="003A297D"/>
    <w:rsid w:val="003A2BF9"/>
    <w:rsid w:val="003A331B"/>
    <w:rsid w:val="003A3BEA"/>
    <w:rsid w:val="003A4AC6"/>
    <w:rsid w:val="003A4BE3"/>
    <w:rsid w:val="003A5FB5"/>
    <w:rsid w:val="003B0D0B"/>
    <w:rsid w:val="003B1065"/>
    <w:rsid w:val="003B1DAD"/>
    <w:rsid w:val="003B2AA2"/>
    <w:rsid w:val="003B2FD2"/>
    <w:rsid w:val="003B5D3E"/>
    <w:rsid w:val="003B6169"/>
    <w:rsid w:val="003B6CA4"/>
    <w:rsid w:val="003C03E0"/>
    <w:rsid w:val="003C05C5"/>
    <w:rsid w:val="003C1892"/>
    <w:rsid w:val="003C2CFF"/>
    <w:rsid w:val="003C2E80"/>
    <w:rsid w:val="003C3DD7"/>
    <w:rsid w:val="003C4496"/>
    <w:rsid w:val="003C51EB"/>
    <w:rsid w:val="003C6A4A"/>
    <w:rsid w:val="003C728F"/>
    <w:rsid w:val="003D15FC"/>
    <w:rsid w:val="003D1EB4"/>
    <w:rsid w:val="003D2B66"/>
    <w:rsid w:val="003D31FD"/>
    <w:rsid w:val="003D42E3"/>
    <w:rsid w:val="003D5C27"/>
    <w:rsid w:val="003D77FA"/>
    <w:rsid w:val="003D7F47"/>
    <w:rsid w:val="003E0F9F"/>
    <w:rsid w:val="003E14ED"/>
    <w:rsid w:val="003E1821"/>
    <w:rsid w:val="003E5A8A"/>
    <w:rsid w:val="003E5D13"/>
    <w:rsid w:val="003E63F8"/>
    <w:rsid w:val="003E70CB"/>
    <w:rsid w:val="003F0D78"/>
    <w:rsid w:val="003F139B"/>
    <w:rsid w:val="003F1FB2"/>
    <w:rsid w:val="003F3A95"/>
    <w:rsid w:val="003F537A"/>
    <w:rsid w:val="003F5475"/>
    <w:rsid w:val="003F560E"/>
    <w:rsid w:val="003F5A24"/>
    <w:rsid w:val="003F5EDA"/>
    <w:rsid w:val="003F653C"/>
    <w:rsid w:val="003F71F4"/>
    <w:rsid w:val="00400590"/>
    <w:rsid w:val="004018C7"/>
    <w:rsid w:val="00401C57"/>
    <w:rsid w:val="004028D9"/>
    <w:rsid w:val="004066A2"/>
    <w:rsid w:val="00406C29"/>
    <w:rsid w:val="00406CA1"/>
    <w:rsid w:val="00410C67"/>
    <w:rsid w:val="0041126A"/>
    <w:rsid w:val="00411783"/>
    <w:rsid w:val="00411A91"/>
    <w:rsid w:val="004139A3"/>
    <w:rsid w:val="0041477F"/>
    <w:rsid w:val="00414E7A"/>
    <w:rsid w:val="00416135"/>
    <w:rsid w:val="00416ED9"/>
    <w:rsid w:val="004173B2"/>
    <w:rsid w:val="004205AB"/>
    <w:rsid w:val="00421135"/>
    <w:rsid w:val="004225E9"/>
    <w:rsid w:val="00423D86"/>
    <w:rsid w:val="00424C9E"/>
    <w:rsid w:val="004255B6"/>
    <w:rsid w:val="0042605C"/>
    <w:rsid w:val="00427912"/>
    <w:rsid w:val="00430948"/>
    <w:rsid w:val="004312D0"/>
    <w:rsid w:val="00432A89"/>
    <w:rsid w:val="00432CD0"/>
    <w:rsid w:val="004333ED"/>
    <w:rsid w:val="00436B9A"/>
    <w:rsid w:val="004402D8"/>
    <w:rsid w:val="0044161F"/>
    <w:rsid w:val="0044362C"/>
    <w:rsid w:val="00445C99"/>
    <w:rsid w:val="00445CDF"/>
    <w:rsid w:val="00446060"/>
    <w:rsid w:val="00450AC4"/>
    <w:rsid w:val="00450C02"/>
    <w:rsid w:val="00451057"/>
    <w:rsid w:val="004517B1"/>
    <w:rsid w:val="00451CE6"/>
    <w:rsid w:val="0045332B"/>
    <w:rsid w:val="004539CC"/>
    <w:rsid w:val="00453B3B"/>
    <w:rsid w:val="00454200"/>
    <w:rsid w:val="00454BBE"/>
    <w:rsid w:val="00455CC2"/>
    <w:rsid w:val="00457A73"/>
    <w:rsid w:val="00460B5A"/>
    <w:rsid w:val="00462BB7"/>
    <w:rsid w:val="0046376B"/>
    <w:rsid w:val="00465207"/>
    <w:rsid w:val="0046520C"/>
    <w:rsid w:val="00467125"/>
    <w:rsid w:val="00471819"/>
    <w:rsid w:val="00473AB6"/>
    <w:rsid w:val="00475B6F"/>
    <w:rsid w:val="00475EA5"/>
    <w:rsid w:val="00476049"/>
    <w:rsid w:val="00476DC3"/>
    <w:rsid w:val="00477023"/>
    <w:rsid w:val="00481088"/>
    <w:rsid w:val="00481126"/>
    <w:rsid w:val="00481554"/>
    <w:rsid w:val="00485AC3"/>
    <w:rsid w:val="004877E5"/>
    <w:rsid w:val="00490058"/>
    <w:rsid w:val="00490858"/>
    <w:rsid w:val="0049159A"/>
    <w:rsid w:val="0049180F"/>
    <w:rsid w:val="004918D4"/>
    <w:rsid w:val="004925AA"/>
    <w:rsid w:val="00492688"/>
    <w:rsid w:val="004928B5"/>
    <w:rsid w:val="00493257"/>
    <w:rsid w:val="00493829"/>
    <w:rsid w:val="00493C95"/>
    <w:rsid w:val="004948A0"/>
    <w:rsid w:val="00495295"/>
    <w:rsid w:val="00495CD8"/>
    <w:rsid w:val="004A0A89"/>
    <w:rsid w:val="004A0AA0"/>
    <w:rsid w:val="004A2B0F"/>
    <w:rsid w:val="004A2F1E"/>
    <w:rsid w:val="004A4106"/>
    <w:rsid w:val="004A77AF"/>
    <w:rsid w:val="004B1561"/>
    <w:rsid w:val="004B37FD"/>
    <w:rsid w:val="004B50FF"/>
    <w:rsid w:val="004B52CF"/>
    <w:rsid w:val="004B58D5"/>
    <w:rsid w:val="004B68FB"/>
    <w:rsid w:val="004B74FC"/>
    <w:rsid w:val="004B7E75"/>
    <w:rsid w:val="004C06B8"/>
    <w:rsid w:val="004C1507"/>
    <w:rsid w:val="004C41AD"/>
    <w:rsid w:val="004C5B13"/>
    <w:rsid w:val="004C671E"/>
    <w:rsid w:val="004C6C55"/>
    <w:rsid w:val="004C755E"/>
    <w:rsid w:val="004D03BA"/>
    <w:rsid w:val="004D20E5"/>
    <w:rsid w:val="004D2766"/>
    <w:rsid w:val="004D4942"/>
    <w:rsid w:val="004D5075"/>
    <w:rsid w:val="004D77F7"/>
    <w:rsid w:val="004E1212"/>
    <w:rsid w:val="004E18EB"/>
    <w:rsid w:val="004E1A56"/>
    <w:rsid w:val="004E204B"/>
    <w:rsid w:val="004E2725"/>
    <w:rsid w:val="004E4D44"/>
    <w:rsid w:val="004E68D9"/>
    <w:rsid w:val="004E6A68"/>
    <w:rsid w:val="004F092E"/>
    <w:rsid w:val="004F0E2C"/>
    <w:rsid w:val="004F1BBB"/>
    <w:rsid w:val="004F328A"/>
    <w:rsid w:val="004F4FDA"/>
    <w:rsid w:val="004F560A"/>
    <w:rsid w:val="004F6E2D"/>
    <w:rsid w:val="00500AEE"/>
    <w:rsid w:val="00501CB2"/>
    <w:rsid w:val="005021A7"/>
    <w:rsid w:val="005023F9"/>
    <w:rsid w:val="005029BF"/>
    <w:rsid w:val="00503572"/>
    <w:rsid w:val="00503C46"/>
    <w:rsid w:val="00506ADA"/>
    <w:rsid w:val="00506DC6"/>
    <w:rsid w:val="0051010F"/>
    <w:rsid w:val="00512441"/>
    <w:rsid w:val="00512785"/>
    <w:rsid w:val="00513E19"/>
    <w:rsid w:val="0051508B"/>
    <w:rsid w:val="00517AB4"/>
    <w:rsid w:val="00520349"/>
    <w:rsid w:val="005228CE"/>
    <w:rsid w:val="0052378B"/>
    <w:rsid w:val="00523C6B"/>
    <w:rsid w:val="0052445F"/>
    <w:rsid w:val="00526A07"/>
    <w:rsid w:val="00527C0B"/>
    <w:rsid w:val="00530099"/>
    <w:rsid w:val="005308BB"/>
    <w:rsid w:val="00531BA9"/>
    <w:rsid w:val="00532DCC"/>
    <w:rsid w:val="0053331A"/>
    <w:rsid w:val="00533DA0"/>
    <w:rsid w:val="00534667"/>
    <w:rsid w:val="005363D6"/>
    <w:rsid w:val="005364CA"/>
    <w:rsid w:val="0053744E"/>
    <w:rsid w:val="00537FE9"/>
    <w:rsid w:val="00540F6D"/>
    <w:rsid w:val="00544A10"/>
    <w:rsid w:val="00544EE7"/>
    <w:rsid w:val="005456C0"/>
    <w:rsid w:val="00546F34"/>
    <w:rsid w:val="005473DC"/>
    <w:rsid w:val="00550718"/>
    <w:rsid w:val="00550730"/>
    <w:rsid w:val="0055100E"/>
    <w:rsid w:val="005511B9"/>
    <w:rsid w:val="00551F25"/>
    <w:rsid w:val="0055272B"/>
    <w:rsid w:val="00554852"/>
    <w:rsid w:val="00554FE9"/>
    <w:rsid w:val="005553B4"/>
    <w:rsid w:val="005553E9"/>
    <w:rsid w:val="005560D4"/>
    <w:rsid w:val="0055674D"/>
    <w:rsid w:val="00556A8C"/>
    <w:rsid w:val="00557075"/>
    <w:rsid w:val="00557F61"/>
    <w:rsid w:val="005609FB"/>
    <w:rsid w:val="00562052"/>
    <w:rsid w:val="00562529"/>
    <w:rsid w:val="005628AE"/>
    <w:rsid w:val="00562BBD"/>
    <w:rsid w:val="00563C6B"/>
    <w:rsid w:val="00564999"/>
    <w:rsid w:val="00566F45"/>
    <w:rsid w:val="005676F5"/>
    <w:rsid w:val="005678B7"/>
    <w:rsid w:val="00567B61"/>
    <w:rsid w:val="00571F07"/>
    <w:rsid w:val="00573059"/>
    <w:rsid w:val="00574D67"/>
    <w:rsid w:val="00576EC5"/>
    <w:rsid w:val="0058047E"/>
    <w:rsid w:val="00580980"/>
    <w:rsid w:val="00580E45"/>
    <w:rsid w:val="0058176C"/>
    <w:rsid w:val="00582027"/>
    <w:rsid w:val="00582803"/>
    <w:rsid w:val="0058376D"/>
    <w:rsid w:val="00583ADF"/>
    <w:rsid w:val="00583B02"/>
    <w:rsid w:val="00584C53"/>
    <w:rsid w:val="00586AF5"/>
    <w:rsid w:val="00586E40"/>
    <w:rsid w:val="0059339E"/>
    <w:rsid w:val="00593652"/>
    <w:rsid w:val="005936C9"/>
    <w:rsid w:val="00594C6C"/>
    <w:rsid w:val="00594DA2"/>
    <w:rsid w:val="00595268"/>
    <w:rsid w:val="00595330"/>
    <w:rsid w:val="00595392"/>
    <w:rsid w:val="00595DF3"/>
    <w:rsid w:val="00596E5C"/>
    <w:rsid w:val="005A0285"/>
    <w:rsid w:val="005A0A20"/>
    <w:rsid w:val="005A15AF"/>
    <w:rsid w:val="005A15B1"/>
    <w:rsid w:val="005A1BA3"/>
    <w:rsid w:val="005A1FFE"/>
    <w:rsid w:val="005A282D"/>
    <w:rsid w:val="005A3028"/>
    <w:rsid w:val="005A3CBE"/>
    <w:rsid w:val="005A3F7D"/>
    <w:rsid w:val="005A40A3"/>
    <w:rsid w:val="005A4316"/>
    <w:rsid w:val="005A5AC8"/>
    <w:rsid w:val="005A7FA8"/>
    <w:rsid w:val="005B0C69"/>
    <w:rsid w:val="005B1872"/>
    <w:rsid w:val="005B22A2"/>
    <w:rsid w:val="005B3403"/>
    <w:rsid w:val="005B5428"/>
    <w:rsid w:val="005B5BF1"/>
    <w:rsid w:val="005B5C45"/>
    <w:rsid w:val="005C1AF4"/>
    <w:rsid w:val="005C4914"/>
    <w:rsid w:val="005C5303"/>
    <w:rsid w:val="005C5499"/>
    <w:rsid w:val="005C6219"/>
    <w:rsid w:val="005C6540"/>
    <w:rsid w:val="005C7FB6"/>
    <w:rsid w:val="005D07CE"/>
    <w:rsid w:val="005D10C7"/>
    <w:rsid w:val="005D397F"/>
    <w:rsid w:val="005D7224"/>
    <w:rsid w:val="005D7E5E"/>
    <w:rsid w:val="005E0816"/>
    <w:rsid w:val="005E0AEF"/>
    <w:rsid w:val="005E0F99"/>
    <w:rsid w:val="005E1961"/>
    <w:rsid w:val="005E2A41"/>
    <w:rsid w:val="005E3653"/>
    <w:rsid w:val="005E4ECB"/>
    <w:rsid w:val="005E4FE5"/>
    <w:rsid w:val="005E66C3"/>
    <w:rsid w:val="005F0012"/>
    <w:rsid w:val="005F0A31"/>
    <w:rsid w:val="005F15E4"/>
    <w:rsid w:val="005F3D2C"/>
    <w:rsid w:val="005F527E"/>
    <w:rsid w:val="005F5DCF"/>
    <w:rsid w:val="005F5E77"/>
    <w:rsid w:val="005F6797"/>
    <w:rsid w:val="00601046"/>
    <w:rsid w:val="006014E5"/>
    <w:rsid w:val="006015D9"/>
    <w:rsid w:val="00601A5D"/>
    <w:rsid w:val="0060354C"/>
    <w:rsid w:val="00605018"/>
    <w:rsid w:val="006056C6"/>
    <w:rsid w:val="00605A24"/>
    <w:rsid w:val="00605DA3"/>
    <w:rsid w:val="00606E35"/>
    <w:rsid w:val="006100DD"/>
    <w:rsid w:val="00610CFC"/>
    <w:rsid w:val="006116C3"/>
    <w:rsid w:val="00615563"/>
    <w:rsid w:val="00615BAE"/>
    <w:rsid w:val="00615DB4"/>
    <w:rsid w:val="00620BE6"/>
    <w:rsid w:val="006212DC"/>
    <w:rsid w:val="00621E66"/>
    <w:rsid w:val="0062348C"/>
    <w:rsid w:val="00623736"/>
    <w:rsid w:val="00623D21"/>
    <w:rsid w:val="006250FD"/>
    <w:rsid w:val="0062626C"/>
    <w:rsid w:val="00634228"/>
    <w:rsid w:val="006346B2"/>
    <w:rsid w:val="006371D1"/>
    <w:rsid w:val="006372C3"/>
    <w:rsid w:val="006374DA"/>
    <w:rsid w:val="0064028C"/>
    <w:rsid w:val="0064110C"/>
    <w:rsid w:val="006411A7"/>
    <w:rsid w:val="00641DEA"/>
    <w:rsid w:val="00642EB0"/>
    <w:rsid w:val="00642FAF"/>
    <w:rsid w:val="00643350"/>
    <w:rsid w:val="006446D3"/>
    <w:rsid w:val="006450C2"/>
    <w:rsid w:val="00645482"/>
    <w:rsid w:val="006464B0"/>
    <w:rsid w:val="006479A5"/>
    <w:rsid w:val="00647DF8"/>
    <w:rsid w:val="00650B2A"/>
    <w:rsid w:val="006514AD"/>
    <w:rsid w:val="006529AC"/>
    <w:rsid w:val="00653341"/>
    <w:rsid w:val="00653A3F"/>
    <w:rsid w:val="00653B6D"/>
    <w:rsid w:val="00654C57"/>
    <w:rsid w:val="0065637B"/>
    <w:rsid w:val="00657483"/>
    <w:rsid w:val="00657566"/>
    <w:rsid w:val="006609BA"/>
    <w:rsid w:val="00660B5A"/>
    <w:rsid w:val="00660BB8"/>
    <w:rsid w:val="006639C3"/>
    <w:rsid w:val="00665D17"/>
    <w:rsid w:val="0066762D"/>
    <w:rsid w:val="006677F4"/>
    <w:rsid w:val="00671E15"/>
    <w:rsid w:val="0067306A"/>
    <w:rsid w:val="00673377"/>
    <w:rsid w:val="006746EC"/>
    <w:rsid w:val="006747B6"/>
    <w:rsid w:val="006752EC"/>
    <w:rsid w:val="00675669"/>
    <w:rsid w:val="00675CCB"/>
    <w:rsid w:val="006764C5"/>
    <w:rsid w:val="006770F9"/>
    <w:rsid w:val="006772CA"/>
    <w:rsid w:val="00677E70"/>
    <w:rsid w:val="00682024"/>
    <w:rsid w:val="00682378"/>
    <w:rsid w:val="006826F4"/>
    <w:rsid w:val="0068361F"/>
    <w:rsid w:val="0068366D"/>
    <w:rsid w:val="006849C4"/>
    <w:rsid w:val="00684B64"/>
    <w:rsid w:val="00684D9D"/>
    <w:rsid w:val="006902D1"/>
    <w:rsid w:val="00690A86"/>
    <w:rsid w:val="00691339"/>
    <w:rsid w:val="00694899"/>
    <w:rsid w:val="00695284"/>
    <w:rsid w:val="00695903"/>
    <w:rsid w:val="00697927"/>
    <w:rsid w:val="006A2022"/>
    <w:rsid w:val="006A2452"/>
    <w:rsid w:val="006A2996"/>
    <w:rsid w:val="006A3B50"/>
    <w:rsid w:val="006A3E37"/>
    <w:rsid w:val="006A4BB9"/>
    <w:rsid w:val="006A5020"/>
    <w:rsid w:val="006A5E7D"/>
    <w:rsid w:val="006A5F6D"/>
    <w:rsid w:val="006B0DF3"/>
    <w:rsid w:val="006B2C0E"/>
    <w:rsid w:val="006B2C93"/>
    <w:rsid w:val="006B31E6"/>
    <w:rsid w:val="006B35F9"/>
    <w:rsid w:val="006B3750"/>
    <w:rsid w:val="006B43CF"/>
    <w:rsid w:val="006B57F9"/>
    <w:rsid w:val="006B6A93"/>
    <w:rsid w:val="006B6B1A"/>
    <w:rsid w:val="006B717C"/>
    <w:rsid w:val="006C03D7"/>
    <w:rsid w:val="006C055D"/>
    <w:rsid w:val="006C0F90"/>
    <w:rsid w:val="006C2A89"/>
    <w:rsid w:val="006C2C41"/>
    <w:rsid w:val="006C37B5"/>
    <w:rsid w:val="006C50BF"/>
    <w:rsid w:val="006C59F0"/>
    <w:rsid w:val="006C78AC"/>
    <w:rsid w:val="006D0305"/>
    <w:rsid w:val="006D2165"/>
    <w:rsid w:val="006D430E"/>
    <w:rsid w:val="006D4CE3"/>
    <w:rsid w:val="006D681F"/>
    <w:rsid w:val="006D6E35"/>
    <w:rsid w:val="006D7B46"/>
    <w:rsid w:val="006E0F44"/>
    <w:rsid w:val="006E5698"/>
    <w:rsid w:val="006E6B6C"/>
    <w:rsid w:val="006E776E"/>
    <w:rsid w:val="006F0227"/>
    <w:rsid w:val="006F06C7"/>
    <w:rsid w:val="006F11EB"/>
    <w:rsid w:val="006F5696"/>
    <w:rsid w:val="006F587F"/>
    <w:rsid w:val="007040D9"/>
    <w:rsid w:val="00705B35"/>
    <w:rsid w:val="00706CB2"/>
    <w:rsid w:val="007105B1"/>
    <w:rsid w:val="00711718"/>
    <w:rsid w:val="00713267"/>
    <w:rsid w:val="00713E40"/>
    <w:rsid w:val="007147ED"/>
    <w:rsid w:val="00717204"/>
    <w:rsid w:val="00720132"/>
    <w:rsid w:val="00720C83"/>
    <w:rsid w:val="007251BD"/>
    <w:rsid w:val="0072521F"/>
    <w:rsid w:val="00726493"/>
    <w:rsid w:val="00726C7B"/>
    <w:rsid w:val="007272D4"/>
    <w:rsid w:val="0073287C"/>
    <w:rsid w:val="0073327C"/>
    <w:rsid w:val="0073377B"/>
    <w:rsid w:val="0073382E"/>
    <w:rsid w:val="00734548"/>
    <w:rsid w:val="00736735"/>
    <w:rsid w:val="007402CA"/>
    <w:rsid w:val="00740F0D"/>
    <w:rsid w:val="00740FD6"/>
    <w:rsid w:val="0074212F"/>
    <w:rsid w:val="007442FA"/>
    <w:rsid w:val="00747B17"/>
    <w:rsid w:val="00747D9D"/>
    <w:rsid w:val="007500D2"/>
    <w:rsid w:val="007509C8"/>
    <w:rsid w:val="00750E6E"/>
    <w:rsid w:val="0075135A"/>
    <w:rsid w:val="007518D6"/>
    <w:rsid w:val="007522E5"/>
    <w:rsid w:val="0075259F"/>
    <w:rsid w:val="00753513"/>
    <w:rsid w:val="00754CFA"/>
    <w:rsid w:val="007550EC"/>
    <w:rsid w:val="00756ED6"/>
    <w:rsid w:val="00757F21"/>
    <w:rsid w:val="00760102"/>
    <w:rsid w:val="007617CE"/>
    <w:rsid w:val="00762299"/>
    <w:rsid w:val="0076574F"/>
    <w:rsid w:val="00765EB9"/>
    <w:rsid w:val="00766030"/>
    <w:rsid w:val="00766DB9"/>
    <w:rsid w:val="0077018F"/>
    <w:rsid w:val="00771E4F"/>
    <w:rsid w:val="0077298A"/>
    <w:rsid w:val="00776955"/>
    <w:rsid w:val="00777607"/>
    <w:rsid w:val="0077767C"/>
    <w:rsid w:val="00777A64"/>
    <w:rsid w:val="00780D32"/>
    <w:rsid w:val="00781A7D"/>
    <w:rsid w:val="00781E01"/>
    <w:rsid w:val="00782843"/>
    <w:rsid w:val="00787D73"/>
    <w:rsid w:val="00795793"/>
    <w:rsid w:val="007A291E"/>
    <w:rsid w:val="007A54BA"/>
    <w:rsid w:val="007A5542"/>
    <w:rsid w:val="007A583C"/>
    <w:rsid w:val="007A6167"/>
    <w:rsid w:val="007A6867"/>
    <w:rsid w:val="007A7B9F"/>
    <w:rsid w:val="007B006B"/>
    <w:rsid w:val="007B01E7"/>
    <w:rsid w:val="007B0A17"/>
    <w:rsid w:val="007B2F25"/>
    <w:rsid w:val="007B3B8D"/>
    <w:rsid w:val="007B43DF"/>
    <w:rsid w:val="007B4C1C"/>
    <w:rsid w:val="007B4F50"/>
    <w:rsid w:val="007B6607"/>
    <w:rsid w:val="007B72B2"/>
    <w:rsid w:val="007B7F5A"/>
    <w:rsid w:val="007C18BF"/>
    <w:rsid w:val="007C372B"/>
    <w:rsid w:val="007C52EA"/>
    <w:rsid w:val="007C5387"/>
    <w:rsid w:val="007C6304"/>
    <w:rsid w:val="007C7A52"/>
    <w:rsid w:val="007D0F24"/>
    <w:rsid w:val="007D2ED4"/>
    <w:rsid w:val="007D475A"/>
    <w:rsid w:val="007D5106"/>
    <w:rsid w:val="007D5625"/>
    <w:rsid w:val="007D6375"/>
    <w:rsid w:val="007D685F"/>
    <w:rsid w:val="007D7650"/>
    <w:rsid w:val="007E14FB"/>
    <w:rsid w:val="007E1A4F"/>
    <w:rsid w:val="007E2FA7"/>
    <w:rsid w:val="007E41CF"/>
    <w:rsid w:val="007E42E3"/>
    <w:rsid w:val="007E5DD0"/>
    <w:rsid w:val="007E60FA"/>
    <w:rsid w:val="007E79B7"/>
    <w:rsid w:val="007F0EA2"/>
    <w:rsid w:val="007F2167"/>
    <w:rsid w:val="007F7AF3"/>
    <w:rsid w:val="007F7DAE"/>
    <w:rsid w:val="00800A00"/>
    <w:rsid w:val="0080386F"/>
    <w:rsid w:val="008056A1"/>
    <w:rsid w:val="00806B1F"/>
    <w:rsid w:val="00811DCD"/>
    <w:rsid w:val="00811E9F"/>
    <w:rsid w:val="00812A19"/>
    <w:rsid w:val="00813310"/>
    <w:rsid w:val="00813410"/>
    <w:rsid w:val="00814BBD"/>
    <w:rsid w:val="00815E00"/>
    <w:rsid w:val="00816081"/>
    <w:rsid w:val="00816DF3"/>
    <w:rsid w:val="00817F15"/>
    <w:rsid w:val="008217CF"/>
    <w:rsid w:val="0082197C"/>
    <w:rsid w:val="00821A1D"/>
    <w:rsid w:val="00824E56"/>
    <w:rsid w:val="0082750D"/>
    <w:rsid w:val="00830BBE"/>
    <w:rsid w:val="00831200"/>
    <w:rsid w:val="008316D5"/>
    <w:rsid w:val="0083315B"/>
    <w:rsid w:val="00833CDB"/>
    <w:rsid w:val="00835294"/>
    <w:rsid w:val="00836C04"/>
    <w:rsid w:val="0083773A"/>
    <w:rsid w:val="00837D47"/>
    <w:rsid w:val="00837E30"/>
    <w:rsid w:val="00841A33"/>
    <w:rsid w:val="00847245"/>
    <w:rsid w:val="00847777"/>
    <w:rsid w:val="008477BF"/>
    <w:rsid w:val="0085178D"/>
    <w:rsid w:val="00852362"/>
    <w:rsid w:val="008528B5"/>
    <w:rsid w:val="00852F62"/>
    <w:rsid w:val="00854774"/>
    <w:rsid w:val="008558A9"/>
    <w:rsid w:val="00856CD9"/>
    <w:rsid w:val="00860BB0"/>
    <w:rsid w:val="0086293C"/>
    <w:rsid w:val="00862F07"/>
    <w:rsid w:val="008641C4"/>
    <w:rsid w:val="00867558"/>
    <w:rsid w:val="008705B0"/>
    <w:rsid w:val="008714AA"/>
    <w:rsid w:val="00875D41"/>
    <w:rsid w:val="00876AA6"/>
    <w:rsid w:val="00876FF4"/>
    <w:rsid w:val="0087713E"/>
    <w:rsid w:val="0088276F"/>
    <w:rsid w:val="008835A9"/>
    <w:rsid w:val="008846F1"/>
    <w:rsid w:val="0088537A"/>
    <w:rsid w:val="0088584C"/>
    <w:rsid w:val="00886AD0"/>
    <w:rsid w:val="00892E7D"/>
    <w:rsid w:val="00893AB5"/>
    <w:rsid w:val="00895DB7"/>
    <w:rsid w:val="00896A80"/>
    <w:rsid w:val="00897679"/>
    <w:rsid w:val="008A3113"/>
    <w:rsid w:val="008A3A6D"/>
    <w:rsid w:val="008A4C21"/>
    <w:rsid w:val="008B0622"/>
    <w:rsid w:val="008B0809"/>
    <w:rsid w:val="008B1B74"/>
    <w:rsid w:val="008B4C82"/>
    <w:rsid w:val="008B60BD"/>
    <w:rsid w:val="008B6B2A"/>
    <w:rsid w:val="008B7895"/>
    <w:rsid w:val="008C28B7"/>
    <w:rsid w:val="008C2C3F"/>
    <w:rsid w:val="008C3145"/>
    <w:rsid w:val="008C4646"/>
    <w:rsid w:val="008C4815"/>
    <w:rsid w:val="008C4CC6"/>
    <w:rsid w:val="008C4F81"/>
    <w:rsid w:val="008C522C"/>
    <w:rsid w:val="008C52EE"/>
    <w:rsid w:val="008C70C7"/>
    <w:rsid w:val="008C7C0B"/>
    <w:rsid w:val="008D1225"/>
    <w:rsid w:val="008D1D0E"/>
    <w:rsid w:val="008D1F15"/>
    <w:rsid w:val="008D3B96"/>
    <w:rsid w:val="008D5210"/>
    <w:rsid w:val="008D6416"/>
    <w:rsid w:val="008D652C"/>
    <w:rsid w:val="008E0D37"/>
    <w:rsid w:val="008E2D53"/>
    <w:rsid w:val="008E4CD7"/>
    <w:rsid w:val="008E641D"/>
    <w:rsid w:val="008E660D"/>
    <w:rsid w:val="008E7DD4"/>
    <w:rsid w:val="008F21C1"/>
    <w:rsid w:val="008F305A"/>
    <w:rsid w:val="008F3154"/>
    <w:rsid w:val="008F3465"/>
    <w:rsid w:val="008F3D5F"/>
    <w:rsid w:val="008F438E"/>
    <w:rsid w:val="008F66BA"/>
    <w:rsid w:val="008F7D54"/>
    <w:rsid w:val="009004F9"/>
    <w:rsid w:val="0090344A"/>
    <w:rsid w:val="0090383C"/>
    <w:rsid w:val="0090561B"/>
    <w:rsid w:val="00910139"/>
    <w:rsid w:val="009112B1"/>
    <w:rsid w:val="00913261"/>
    <w:rsid w:val="009158AA"/>
    <w:rsid w:val="00916DEB"/>
    <w:rsid w:val="00917022"/>
    <w:rsid w:val="00917485"/>
    <w:rsid w:val="00920C84"/>
    <w:rsid w:val="00920F02"/>
    <w:rsid w:val="00922591"/>
    <w:rsid w:val="00922A73"/>
    <w:rsid w:val="00926673"/>
    <w:rsid w:val="009271A2"/>
    <w:rsid w:val="0093027F"/>
    <w:rsid w:val="0093151B"/>
    <w:rsid w:val="00931738"/>
    <w:rsid w:val="00931B31"/>
    <w:rsid w:val="009325AE"/>
    <w:rsid w:val="009346E0"/>
    <w:rsid w:val="009349B5"/>
    <w:rsid w:val="00940224"/>
    <w:rsid w:val="009402E0"/>
    <w:rsid w:val="0094265B"/>
    <w:rsid w:val="00942CF7"/>
    <w:rsid w:val="00944900"/>
    <w:rsid w:val="00944EA3"/>
    <w:rsid w:val="0094583D"/>
    <w:rsid w:val="009509BD"/>
    <w:rsid w:val="00950C0B"/>
    <w:rsid w:val="00951984"/>
    <w:rsid w:val="0095439B"/>
    <w:rsid w:val="00954EC8"/>
    <w:rsid w:val="009553FC"/>
    <w:rsid w:val="00957E5D"/>
    <w:rsid w:val="0096009C"/>
    <w:rsid w:val="0096374D"/>
    <w:rsid w:val="00966DA4"/>
    <w:rsid w:val="00970201"/>
    <w:rsid w:val="00971402"/>
    <w:rsid w:val="00971744"/>
    <w:rsid w:val="00971830"/>
    <w:rsid w:val="00972EB6"/>
    <w:rsid w:val="0097707B"/>
    <w:rsid w:val="00980A15"/>
    <w:rsid w:val="0098446E"/>
    <w:rsid w:val="009846CF"/>
    <w:rsid w:val="00984BF8"/>
    <w:rsid w:val="009850BA"/>
    <w:rsid w:val="00985D75"/>
    <w:rsid w:val="00986146"/>
    <w:rsid w:val="00990ED9"/>
    <w:rsid w:val="00992888"/>
    <w:rsid w:val="009947F1"/>
    <w:rsid w:val="009949CE"/>
    <w:rsid w:val="00994F03"/>
    <w:rsid w:val="009A01F1"/>
    <w:rsid w:val="009A045C"/>
    <w:rsid w:val="009A0EB3"/>
    <w:rsid w:val="009A1D3C"/>
    <w:rsid w:val="009A1E77"/>
    <w:rsid w:val="009A2123"/>
    <w:rsid w:val="009A43E6"/>
    <w:rsid w:val="009A47F0"/>
    <w:rsid w:val="009A5D78"/>
    <w:rsid w:val="009A6127"/>
    <w:rsid w:val="009A6C1F"/>
    <w:rsid w:val="009B05A6"/>
    <w:rsid w:val="009B0BA2"/>
    <w:rsid w:val="009B1322"/>
    <w:rsid w:val="009B2029"/>
    <w:rsid w:val="009B27DF"/>
    <w:rsid w:val="009B2ABB"/>
    <w:rsid w:val="009B387F"/>
    <w:rsid w:val="009B5848"/>
    <w:rsid w:val="009B6103"/>
    <w:rsid w:val="009B6310"/>
    <w:rsid w:val="009B6859"/>
    <w:rsid w:val="009C0395"/>
    <w:rsid w:val="009C0670"/>
    <w:rsid w:val="009C0DB6"/>
    <w:rsid w:val="009C2D4D"/>
    <w:rsid w:val="009C3F50"/>
    <w:rsid w:val="009C4DDA"/>
    <w:rsid w:val="009C60FB"/>
    <w:rsid w:val="009C61D4"/>
    <w:rsid w:val="009C750F"/>
    <w:rsid w:val="009D18C6"/>
    <w:rsid w:val="009D3922"/>
    <w:rsid w:val="009D4775"/>
    <w:rsid w:val="009D4AE0"/>
    <w:rsid w:val="009D6DFE"/>
    <w:rsid w:val="009D771F"/>
    <w:rsid w:val="009E2771"/>
    <w:rsid w:val="009E4300"/>
    <w:rsid w:val="009E4DF6"/>
    <w:rsid w:val="009E58C7"/>
    <w:rsid w:val="009E7251"/>
    <w:rsid w:val="009E7A57"/>
    <w:rsid w:val="009E7EE6"/>
    <w:rsid w:val="009F1542"/>
    <w:rsid w:val="009F1734"/>
    <w:rsid w:val="009F3B03"/>
    <w:rsid w:val="009F4E51"/>
    <w:rsid w:val="009F652E"/>
    <w:rsid w:val="009F669E"/>
    <w:rsid w:val="009F6ED1"/>
    <w:rsid w:val="00A00155"/>
    <w:rsid w:val="00A01043"/>
    <w:rsid w:val="00A0126B"/>
    <w:rsid w:val="00A01720"/>
    <w:rsid w:val="00A02454"/>
    <w:rsid w:val="00A02548"/>
    <w:rsid w:val="00A02D52"/>
    <w:rsid w:val="00A03A7D"/>
    <w:rsid w:val="00A03B4A"/>
    <w:rsid w:val="00A04AA5"/>
    <w:rsid w:val="00A072C1"/>
    <w:rsid w:val="00A113B3"/>
    <w:rsid w:val="00A11694"/>
    <w:rsid w:val="00A12F12"/>
    <w:rsid w:val="00A134B2"/>
    <w:rsid w:val="00A139E6"/>
    <w:rsid w:val="00A14C28"/>
    <w:rsid w:val="00A16582"/>
    <w:rsid w:val="00A16E83"/>
    <w:rsid w:val="00A17085"/>
    <w:rsid w:val="00A21509"/>
    <w:rsid w:val="00A22BC9"/>
    <w:rsid w:val="00A250DA"/>
    <w:rsid w:val="00A25620"/>
    <w:rsid w:val="00A26E55"/>
    <w:rsid w:val="00A27D3E"/>
    <w:rsid w:val="00A31EA1"/>
    <w:rsid w:val="00A31ED2"/>
    <w:rsid w:val="00A31F1F"/>
    <w:rsid w:val="00A32146"/>
    <w:rsid w:val="00A331B3"/>
    <w:rsid w:val="00A33C7F"/>
    <w:rsid w:val="00A33FE0"/>
    <w:rsid w:val="00A35768"/>
    <w:rsid w:val="00A36D05"/>
    <w:rsid w:val="00A377EF"/>
    <w:rsid w:val="00A42017"/>
    <w:rsid w:val="00A446B7"/>
    <w:rsid w:val="00A45306"/>
    <w:rsid w:val="00A47E87"/>
    <w:rsid w:val="00A47ED7"/>
    <w:rsid w:val="00A47F97"/>
    <w:rsid w:val="00A5258C"/>
    <w:rsid w:val="00A526BF"/>
    <w:rsid w:val="00A541BE"/>
    <w:rsid w:val="00A60BE4"/>
    <w:rsid w:val="00A6169A"/>
    <w:rsid w:val="00A65364"/>
    <w:rsid w:val="00A654C1"/>
    <w:rsid w:val="00A65A24"/>
    <w:rsid w:val="00A66322"/>
    <w:rsid w:val="00A67CA0"/>
    <w:rsid w:val="00A70308"/>
    <w:rsid w:val="00A7097C"/>
    <w:rsid w:val="00A712FA"/>
    <w:rsid w:val="00A71A85"/>
    <w:rsid w:val="00A72138"/>
    <w:rsid w:val="00A7271F"/>
    <w:rsid w:val="00A7430F"/>
    <w:rsid w:val="00A77112"/>
    <w:rsid w:val="00A77A56"/>
    <w:rsid w:val="00A80438"/>
    <w:rsid w:val="00A818B5"/>
    <w:rsid w:val="00A824FF"/>
    <w:rsid w:val="00A82FDB"/>
    <w:rsid w:val="00A839BC"/>
    <w:rsid w:val="00A866D6"/>
    <w:rsid w:val="00A867D8"/>
    <w:rsid w:val="00A90878"/>
    <w:rsid w:val="00A94509"/>
    <w:rsid w:val="00A948B1"/>
    <w:rsid w:val="00A95790"/>
    <w:rsid w:val="00A969DE"/>
    <w:rsid w:val="00A97396"/>
    <w:rsid w:val="00A97565"/>
    <w:rsid w:val="00AA1E13"/>
    <w:rsid w:val="00AA24CB"/>
    <w:rsid w:val="00AA4832"/>
    <w:rsid w:val="00AA5A2D"/>
    <w:rsid w:val="00AA77E4"/>
    <w:rsid w:val="00AA7982"/>
    <w:rsid w:val="00AB1FF4"/>
    <w:rsid w:val="00AB3527"/>
    <w:rsid w:val="00AB38CA"/>
    <w:rsid w:val="00AB511C"/>
    <w:rsid w:val="00AB6456"/>
    <w:rsid w:val="00AB6AEF"/>
    <w:rsid w:val="00AB7107"/>
    <w:rsid w:val="00AB7139"/>
    <w:rsid w:val="00AB7C34"/>
    <w:rsid w:val="00AC14D1"/>
    <w:rsid w:val="00AC22A0"/>
    <w:rsid w:val="00AC392D"/>
    <w:rsid w:val="00AC488B"/>
    <w:rsid w:val="00AC6957"/>
    <w:rsid w:val="00AC76F5"/>
    <w:rsid w:val="00AD2869"/>
    <w:rsid w:val="00AD5A34"/>
    <w:rsid w:val="00AE0F11"/>
    <w:rsid w:val="00AE1C47"/>
    <w:rsid w:val="00AE1E2E"/>
    <w:rsid w:val="00AE2057"/>
    <w:rsid w:val="00AE2820"/>
    <w:rsid w:val="00AE2BAB"/>
    <w:rsid w:val="00AE33ED"/>
    <w:rsid w:val="00AE5BDE"/>
    <w:rsid w:val="00AF044A"/>
    <w:rsid w:val="00AF0FF7"/>
    <w:rsid w:val="00AF2E25"/>
    <w:rsid w:val="00AF42FD"/>
    <w:rsid w:val="00AF59E7"/>
    <w:rsid w:val="00AF6265"/>
    <w:rsid w:val="00AF6BB4"/>
    <w:rsid w:val="00AF7523"/>
    <w:rsid w:val="00B04C55"/>
    <w:rsid w:val="00B0682B"/>
    <w:rsid w:val="00B07CDD"/>
    <w:rsid w:val="00B07E11"/>
    <w:rsid w:val="00B11456"/>
    <w:rsid w:val="00B114A3"/>
    <w:rsid w:val="00B11981"/>
    <w:rsid w:val="00B11A9E"/>
    <w:rsid w:val="00B12D4D"/>
    <w:rsid w:val="00B1431D"/>
    <w:rsid w:val="00B16F27"/>
    <w:rsid w:val="00B1771C"/>
    <w:rsid w:val="00B20597"/>
    <w:rsid w:val="00B20B1F"/>
    <w:rsid w:val="00B21A9F"/>
    <w:rsid w:val="00B21BF0"/>
    <w:rsid w:val="00B21BF2"/>
    <w:rsid w:val="00B227CC"/>
    <w:rsid w:val="00B23A59"/>
    <w:rsid w:val="00B23BDF"/>
    <w:rsid w:val="00B25807"/>
    <w:rsid w:val="00B25DA6"/>
    <w:rsid w:val="00B25E64"/>
    <w:rsid w:val="00B26EA4"/>
    <w:rsid w:val="00B35742"/>
    <w:rsid w:val="00B35D64"/>
    <w:rsid w:val="00B36379"/>
    <w:rsid w:val="00B363FB"/>
    <w:rsid w:val="00B372D9"/>
    <w:rsid w:val="00B37E5E"/>
    <w:rsid w:val="00B407F7"/>
    <w:rsid w:val="00B40CCB"/>
    <w:rsid w:val="00B41CF3"/>
    <w:rsid w:val="00B42A7F"/>
    <w:rsid w:val="00B42B1C"/>
    <w:rsid w:val="00B43F5D"/>
    <w:rsid w:val="00B44032"/>
    <w:rsid w:val="00B468AF"/>
    <w:rsid w:val="00B519C5"/>
    <w:rsid w:val="00B528CF"/>
    <w:rsid w:val="00B53C22"/>
    <w:rsid w:val="00B53F3F"/>
    <w:rsid w:val="00B55791"/>
    <w:rsid w:val="00B55BBD"/>
    <w:rsid w:val="00B56AC9"/>
    <w:rsid w:val="00B600D9"/>
    <w:rsid w:val="00B61465"/>
    <w:rsid w:val="00B6405A"/>
    <w:rsid w:val="00B64466"/>
    <w:rsid w:val="00B65763"/>
    <w:rsid w:val="00B66AB4"/>
    <w:rsid w:val="00B67AC9"/>
    <w:rsid w:val="00B67CFF"/>
    <w:rsid w:val="00B7072F"/>
    <w:rsid w:val="00B72966"/>
    <w:rsid w:val="00B745B1"/>
    <w:rsid w:val="00B77A7D"/>
    <w:rsid w:val="00B77D1D"/>
    <w:rsid w:val="00B805E4"/>
    <w:rsid w:val="00B80DAE"/>
    <w:rsid w:val="00B814E7"/>
    <w:rsid w:val="00B833BF"/>
    <w:rsid w:val="00B86DCD"/>
    <w:rsid w:val="00B87DCC"/>
    <w:rsid w:val="00B90804"/>
    <w:rsid w:val="00B932C4"/>
    <w:rsid w:val="00B94394"/>
    <w:rsid w:val="00B950AD"/>
    <w:rsid w:val="00B9607F"/>
    <w:rsid w:val="00B9731F"/>
    <w:rsid w:val="00BA0CCD"/>
    <w:rsid w:val="00BA18FE"/>
    <w:rsid w:val="00BA1DE7"/>
    <w:rsid w:val="00BA2435"/>
    <w:rsid w:val="00BA3742"/>
    <w:rsid w:val="00BA525E"/>
    <w:rsid w:val="00BA6CC7"/>
    <w:rsid w:val="00BA6FDB"/>
    <w:rsid w:val="00BA7021"/>
    <w:rsid w:val="00BA7C2B"/>
    <w:rsid w:val="00BA7DA0"/>
    <w:rsid w:val="00BB0945"/>
    <w:rsid w:val="00BB4A5F"/>
    <w:rsid w:val="00BB662B"/>
    <w:rsid w:val="00BB7392"/>
    <w:rsid w:val="00BB7EF4"/>
    <w:rsid w:val="00BC079B"/>
    <w:rsid w:val="00BC1D50"/>
    <w:rsid w:val="00BC4B77"/>
    <w:rsid w:val="00BC4EB6"/>
    <w:rsid w:val="00BC4FB5"/>
    <w:rsid w:val="00BD158F"/>
    <w:rsid w:val="00BD17AA"/>
    <w:rsid w:val="00BD1804"/>
    <w:rsid w:val="00BD21F3"/>
    <w:rsid w:val="00BD2401"/>
    <w:rsid w:val="00BD2932"/>
    <w:rsid w:val="00BD294F"/>
    <w:rsid w:val="00BD3A58"/>
    <w:rsid w:val="00BD3EDC"/>
    <w:rsid w:val="00BD5205"/>
    <w:rsid w:val="00BD67C7"/>
    <w:rsid w:val="00BD739D"/>
    <w:rsid w:val="00BE0246"/>
    <w:rsid w:val="00BE1824"/>
    <w:rsid w:val="00BE3B85"/>
    <w:rsid w:val="00BE423B"/>
    <w:rsid w:val="00BE465C"/>
    <w:rsid w:val="00BE7015"/>
    <w:rsid w:val="00BE7D0B"/>
    <w:rsid w:val="00BF30BE"/>
    <w:rsid w:val="00BF3810"/>
    <w:rsid w:val="00BF4273"/>
    <w:rsid w:val="00BF447E"/>
    <w:rsid w:val="00BF567D"/>
    <w:rsid w:val="00BF6DB1"/>
    <w:rsid w:val="00C01755"/>
    <w:rsid w:val="00C027BF"/>
    <w:rsid w:val="00C05723"/>
    <w:rsid w:val="00C06DC6"/>
    <w:rsid w:val="00C1009A"/>
    <w:rsid w:val="00C10135"/>
    <w:rsid w:val="00C103AF"/>
    <w:rsid w:val="00C10AB7"/>
    <w:rsid w:val="00C118B3"/>
    <w:rsid w:val="00C122C6"/>
    <w:rsid w:val="00C133E4"/>
    <w:rsid w:val="00C133E7"/>
    <w:rsid w:val="00C13BE5"/>
    <w:rsid w:val="00C15A80"/>
    <w:rsid w:val="00C16962"/>
    <w:rsid w:val="00C16C27"/>
    <w:rsid w:val="00C20017"/>
    <w:rsid w:val="00C20615"/>
    <w:rsid w:val="00C23589"/>
    <w:rsid w:val="00C24C68"/>
    <w:rsid w:val="00C24F14"/>
    <w:rsid w:val="00C251B7"/>
    <w:rsid w:val="00C256D7"/>
    <w:rsid w:val="00C26BF6"/>
    <w:rsid w:val="00C27038"/>
    <w:rsid w:val="00C3214A"/>
    <w:rsid w:val="00C32AA5"/>
    <w:rsid w:val="00C34633"/>
    <w:rsid w:val="00C349E8"/>
    <w:rsid w:val="00C352EC"/>
    <w:rsid w:val="00C35459"/>
    <w:rsid w:val="00C36621"/>
    <w:rsid w:val="00C42257"/>
    <w:rsid w:val="00C4247A"/>
    <w:rsid w:val="00C44691"/>
    <w:rsid w:val="00C46887"/>
    <w:rsid w:val="00C47F3D"/>
    <w:rsid w:val="00C5270F"/>
    <w:rsid w:val="00C53BC6"/>
    <w:rsid w:val="00C54416"/>
    <w:rsid w:val="00C54DA6"/>
    <w:rsid w:val="00C55787"/>
    <w:rsid w:val="00C57059"/>
    <w:rsid w:val="00C61F15"/>
    <w:rsid w:val="00C620F4"/>
    <w:rsid w:val="00C62769"/>
    <w:rsid w:val="00C632A2"/>
    <w:rsid w:val="00C64FC7"/>
    <w:rsid w:val="00C654B8"/>
    <w:rsid w:val="00C660A0"/>
    <w:rsid w:val="00C66134"/>
    <w:rsid w:val="00C66464"/>
    <w:rsid w:val="00C702D6"/>
    <w:rsid w:val="00C70BDA"/>
    <w:rsid w:val="00C723F9"/>
    <w:rsid w:val="00C72BCD"/>
    <w:rsid w:val="00C73A0A"/>
    <w:rsid w:val="00C763D3"/>
    <w:rsid w:val="00C76904"/>
    <w:rsid w:val="00C77983"/>
    <w:rsid w:val="00C779E3"/>
    <w:rsid w:val="00C818B5"/>
    <w:rsid w:val="00C8243D"/>
    <w:rsid w:val="00C83326"/>
    <w:rsid w:val="00C839C7"/>
    <w:rsid w:val="00C83B36"/>
    <w:rsid w:val="00C8560B"/>
    <w:rsid w:val="00C908AE"/>
    <w:rsid w:val="00C90DAF"/>
    <w:rsid w:val="00C90EA8"/>
    <w:rsid w:val="00C916B4"/>
    <w:rsid w:val="00C91BD8"/>
    <w:rsid w:val="00C9597C"/>
    <w:rsid w:val="00C9627B"/>
    <w:rsid w:val="00C962F1"/>
    <w:rsid w:val="00C9657E"/>
    <w:rsid w:val="00C9692E"/>
    <w:rsid w:val="00C9773F"/>
    <w:rsid w:val="00CA13DB"/>
    <w:rsid w:val="00CA2EAA"/>
    <w:rsid w:val="00CA3848"/>
    <w:rsid w:val="00CA3EDB"/>
    <w:rsid w:val="00CA4F9B"/>
    <w:rsid w:val="00CA58E8"/>
    <w:rsid w:val="00CA6C44"/>
    <w:rsid w:val="00CA6DD5"/>
    <w:rsid w:val="00CA7170"/>
    <w:rsid w:val="00CA738A"/>
    <w:rsid w:val="00CA7E0E"/>
    <w:rsid w:val="00CB06AB"/>
    <w:rsid w:val="00CB0E75"/>
    <w:rsid w:val="00CB307D"/>
    <w:rsid w:val="00CB36B3"/>
    <w:rsid w:val="00CB387F"/>
    <w:rsid w:val="00CC08EE"/>
    <w:rsid w:val="00CC08F1"/>
    <w:rsid w:val="00CC1B54"/>
    <w:rsid w:val="00CC320A"/>
    <w:rsid w:val="00CC56F4"/>
    <w:rsid w:val="00CC5B2C"/>
    <w:rsid w:val="00CC627C"/>
    <w:rsid w:val="00CC662B"/>
    <w:rsid w:val="00CC745B"/>
    <w:rsid w:val="00CD0317"/>
    <w:rsid w:val="00CD0A5D"/>
    <w:rsid w:val="00CD2680"/>
    <w:rsid w:val="00CD3000"/>
    <w:rsid w:val="00CD3559"/>
    <w:rsid w:val="00CD38BD"/>
    <w:rsid w:val="00CD4212"/>
    <w:rsid w:val="00CD49AE"/>
    <w:rsid w:val="00CD5296"/>
    <w:rsid w:val="00CE02B0"/>
    <w:rsid w:val="00CE03CA"/>
    <w:rsid w:val="00CE0764"/>
    <w:rsid w:val="00CE3F98"/>
    <w:rsid w:val="00CE4A4A"/>
    <w:rsid w:val="00CE4B31"/>
    <w:rsid w:val="00CE5886"/>
    <w:rsid w:val="00CE701B"/>
    <w:rsid w:val="00CE7331"/>
    <w:rsid w:val="00CE7473"/>
    <w:rsid w:val="00CF1126"/>
    <w:rsid w:val="00CF24AD"/>
    <w:rsid w:val="00CF4273"/>
    <w:rsid w:val="00CF49C3"/>
    <w:rsid w:val="00CF5FBE"/>
    <w:rsid w:val="00CF7606"/>
    <w:rsid w:val="00CF77D6"/>
    <w:rsid w:val="00D00889"/>
    <w:rsid w:val="00D0202D"/>
    <w:rsid w:val="00D028C3"/>
    <w:rsid w:val="00D03781"/>
    <w:rsid w:val="00D0450A"/>
    <w:rsid w:val="00D062B9"/>
    <w:rsid w:val="00D065DA"/>
    <w:rsid w:val="00D06E1E"/>
    <w:rsid w:val="00D1018B"/>
    <w:rsid w:val="00D10A04"/>
    <w:rsid w:val="00D128D7"/>
    <w:rsid w:val="00D131E9"/>
    <w:rsid w:val="00D1471A"/>
    <w:rsid w:val="00D152D9"/>
    <w:rsid w:val="00D15BC3"/>
    <w:rsid w:val="00D16FF9"/>
    <w:rsid w:val="00D17DF9"/>
    <w:rsid w:val="00D2167C"/>
    <w:rsid w:val="00D24C21"/>
    <w:rsid w:val="00D26BBF"/>
    <w:rsid w:val="00D27BC8"/>
    <w:rsid w:val="00D3262D"/>
    <w:rsid w:val="00D32A6A"/>
    <w:rsid w:val="00D34976"/>
    <w:rsid w:val="00D35EDA"/>
    <w:rsid w:val="00D36D16"/>
    <w:rsid w:val="00D41955"/>
    <w:rsid w:val="00D41CEF"/>
    <w:rsid w:val="00D42A9B"/>
    <w:rsid w:val="00D43EC5"/>
    <w:rsid w:val="00D44378"/>
    <w:rsid w:val="00D44C7A"/>
    <w:rsid w:val="00D44E9F"/>
    <w:rsid w:val="00D47EDA"/>
    <w:rsid w:val="00D507E7"/>
    <w:rsid w:val="00D516BE"/>
    <w:rsid w:val="00D521CB"/>
    <w:rsid w:val="00D53811"/>
    <w:rsid w:val="00D53DAE"/>
    <w:rsid w:val="00D543C1"/>
    <w:rsid w:val="00D54667"/>
    <w:rsid w:val="00D5516F"/>
    <w:rsid w:val="00D566D4"/>
    <w:rsid w:val="00D604C1"/>
    <w:rsid w:val="00D62DC1"/>
    <w:rsid w:val="00D64AD2"/>
    <w:rsid w:val="00D65F6E"/>
    <w:rsid w:val="00D70AD3"/>
    <w:rsid w:val="00D72D6A"/>
    <w:rsid w:val="00D733A1"/>
    <w:rsid w:val="00D74300"/>
    <w:rsid w:val="00D76680"/>
    <w:rsid w:val="00D802C2"/>
    <w:rsid w:val="00D803BC"/>
    <w:rsid w:val="00D81F28"/>
    <w:rsid w:val="00D8253A"/>
    <w:rsid w:val="00D84DBD"/>
    <w:rsid w:val="00D85988"/>
    <w:rsid w:val="00D86166"/>
    <w:rsid w:val="00D86C8B"/>
    <w:rsid w:val="00D8737F"/>
    <w:rsid w:val="00D87764"/>
    <w:rsid w:val="00D90E79"/>
    <w:rsid w:val="00D92B64"/>
    <w:rsid w:val="00D93E39"/>
    <w:rsid w:val="00D940CE"/>
    <w:rsid w:val="00D96803"/>
    <w:rsid w:val="00D96B14"/>
    <w:rsid w:val="00D96F38"/>
    <w:rsid w:val="00D97978"/>
    <w:rsid w:val="00DA0A08"/>
    <w:rsid w:val="00DA0CAA"/>
    <w:rsid w:val="00DA183F"/>
    <w:rsid w:val="00DA2E0B"/>
    <w:rsid w:val="00DA347F"/>
    <w:rsid w:val="00DA445D"/>
    <w:rsid w:val="00DA701D"/>
    <w:rsid w:val="00DB0890"/>
    <w:rsid w:val="00DB2049"/>
    <w:rsid w:val="00DB32C8"/>
    <w:rsid w:val="00DB348A"/>
    <w:rsid w:val="00DB3916"/>
    <w:rsid w:val="00DB3B2C"/>
    <w:rsid w:val="00DB548B"/>
    <w:rsid w:val="00DB59BA"/>
    <w:rsid w:val="00DB689E"/>
    <w:rsid w:val="00DB751D"/>
    <w:rsid w:val="00DC0491"/>
    <w:rsid w:val="00DC09E2"/>
    <w:rsid w:val="00DC23E3"/>
    <w:rsid w:val="00DC3596"/>
    <w:rsid w:val="00DC5559"/>
    <w:rsid w:val="00DC5EAF"/>
    <w:rsid w:val="00DD19FE"/>
    <w:rsid w:val="00DD203D"/>
    <w:rsid w:val="00DD2D22"/>
    <w:rsid w:val="00DD463B"/>
    <w:rsid w:val="00DD5E88"/>
    <w:rsid w:val="00DD7BA3"/>
    <w:rsid w:val="00DE0003"/>
    <w:rsid w:val="00DE0119"/>
    <w:rsid w:val="00DE05C2"/>
    <w:rsid w:val="00DE1CCB"/>
    <w:rsid w:val="00DE7027"/>
    <w:rsid w:val="00DE7B3D"/>
    <w:rsid w:val="00DF4282"/>
    <w:rsid w:val="00DF4F75"/>
    <w:rsid w:val="00DF61AF"/>
    <w:rsid w:val="00DF7E39"/>
    <w:rsid w:val="00E00787"/>
    <w:rsid w:val="00E00B96"/>
    <w:rsid w:val="00E021D8"/>
    <w:rsid w:val="00E0264D"/>
    <w:rsid w:val="00E03B3D"/>
    <w:rsid w:val="00E07645"/>
    <w:rsid w:val="00E10C48"/>
    <w:rsid w:val="00E12966"/>
    <w:rsid w:val="00E129DE"/>
    <w:rsid w:val="00E13C8B"/>
    <w:rsid w:val="00E14292"/>
    <w:rsid w:val="00E14E4F"/>
    <w:rsid w:val="00E150CB"/>
    <w:rsid w:val="00E15476"/>
    <w:rsid w:val="00E15592"/>
    <w:rsid w:val="00E1563B"/>
    <w:rsid w:val="00E15721"/>
    <w:rsid w:val="00E15C7D"/>
    <w:rsid w:val="00E16038"/>
    <w:rsid w:val="00E1633B"/>
    <w:rsid w:val="00E167E1"/>
    <w:rsid w:val="00E17832"/>
    <w:rsid w:val="00E21C48"/>
    <w:rsid w:val="00E23764"/>
    <w:rsid w:val="00E26147"/>
    <w:rsid w:val="00E32479"/>
    <w:rsid w:val="00E324A0"/>
    <w:rsid w:val="00E32E2A"/>
    <w:rsid w:val="00E34D03"/>
    <w:rsid w:val="00E35D00"/>
    <w:rsid w:val="00E3666B"/>
    <w:rsid w:val="00E36952"/>
    <w:rsid w:val="00E36DE6"/>
    <w:rsid w:val="00E37C9E"/>
    <w:rsid w:val="00E40337"/>
    <w:rsid w:val="00E41BE8"/>
    <w:rsid w:val="00E41D55"/>
    <w:rsid w:val="00E43350"/>
    <w:rsid w:val="00E43737"/>
    <w:rsid w:val="00E43C55"/>
    <w:rsid w:val="00E441FD"/>
    <w:rsid w:val="00E5093C"/>
    <w:rsid w:val="00E51B1F"/>
    <w:rsid w:val="00E532C7"/>
    <w:rsid w:val="00E54E86"/>
    <w:rsid w:val="00E54F09"/>
    <w:rsid w:val="00E54F6F"/>
    <w:rsid w:val="00E55F04"/>
    <w:rsid w:val="00E56258"/>
    <w:rsid w:val="00E60723"/>
    <w:rsid w:val="00E61427"/>
    <w:rsid w:val="00E62521"/>
    <w:rsid w:val="00E637E6"/>
    <w:rsid w:val="00E63C9C"/>
    <w:rsid w:val="00E63DEB"/>
    <w:rsid w:val="00E6408C"/>
    <w:rsid w:val="00E64BDE"/>
    <w:rsid w:val="00E667F5"/>
    <w:rsid w:val="00E67B51"/>
    <w:rsid w:val="00E70C9E"/>
    <w:rsid w:val="00E7279F"/>
    <w:rsid w:val="00E736B1"/>
    <w:rsid w:val="00E74803"/>
    <w:rsid w:val="00E74C42"/>
    <w:rsid w:val="00E75332"/>
    <w:rsid w:val="00E7624D"/>
    <w:rsid w:val="00E80A7D"/>
    <w:rsid w:val="00E8251D"/>
    <w:rsid w:val="00E8490D"/>
    <w:rsid w:val="00E86EA2"/>
    <w:rsid w:val="00E87E37"/>
    <w:rsid w:val="00E92CFD"/>
    <w:rsid w:val="00E933DC"/>
    <w:rsid w:val="00E9744A"/>
    <w:rsid w:val="00E97AE2"/>
    <w:rsid w:val="00EA169B"/>
    <w:rsid w:val="00EA26A1"/>
    <w:rsid w:val="00EA538F"/>
    <w:rsid w:val="00EA5938"/>
    <w:rsid w:val="00EA5A39"/>
    <w:rsid w:val="00EA5BCF"/>
    <w:rsid w:val="00EA7E15"/>
    <w:rsid w:val="00EB1612"/>
    <w:rsid w:val="00EB1B35"/>
    <w:rsid w:val="00EB492A"/>
    <w:rsid w:val="00EB52C5"/>
    <w:rsid w:val="00EB5843"/>
    <w:rsid w:val="00EB5E79"/>
    <w:rsid w:val="00EB6589"/>
    <w:rsid w:val="00EB761E"/>
    <w:rsid w:val="00EB7C1E"/>
    <w:rsid w:val="00EC1BCB"/>
    <w:rsid w:val="00EC2021"/>
    <w:rsid w:val="00EC37D2"/>
    <w:rsid w:val="00EC53F2"/>
    <w:rsid w:val="00EC55C4"/>
    <w:rsid w:val="00EC5795"/>
    <w:rsid w:val="00ED0571"/>
    <w:rsid w:val="00ED205C"/>
    <w:rsid w:val="00ED7314"/>
    <w:rsid w:val="00EE3B17"/>
    <w:rsid w:val="00EE481C"/>
    <w:rsid w:val="00EE48F1"/>
    <w:rsid w:val="00EE4A2D"/>
    <w:rsid w:val="00EE544C"/>
    <w:rsid w:val="00EE66E6"/>
    <w:rsid w:val="00EE7A5F"/>
    <w:rsid w:val="00EF14C9"/>
    <w:rsid w:val="00EF2ED7"/>
    <w:rsid w:val="00EF3888"/>
    <w:rsid w:val="00EF502A"/>
    <w:rsid w:val="00EF5055"/>
    <w:rsid w:val="00EF5967"/>
    <w:rsid w:val="00EF7C44"/>
    <w:rsid w:val="00F01695"/>
    <w:rsid w:val="00F058C4"/>
    <w:rsid w:val="00F059D2"/>
    <w:rsid w:val="00F05BA8"/>
    <w:rsid w:val="00F073AA"/>
    <w:rsid w:val="00F0747C"/>
    <w:rsid w:val="00F07A38"/>
    <w:rsid w:val="00F11DCA"/>
    <w:rsid w:val="00F170C8"/>
    <w:rsid w:val="00F17823"/>
    <w:rsid w:val="00F2303C"/>
    <w:rsid w:val="00F23074"/>
    <w:rsid w:val="00F252C0"/>
    <w:rsid w:val="00F25C19"/>
    <w:rsid w:val="00F2607A"/>
    <w:rsid w:val="00F261AF"/>
    <w:rsid w:val="00F31F13"/>
    <w:rsid w:val="00F359B1"/>
    <w:rsid w:val="00F368EA"/>
    <w:rsid w:val="00F37BB4"/>
    <w:rsid w:val="00F42930"/>
    <w:rsid w:val="00F42F9E"/>
    <w:rsid w:val="00F4639C"/>
    <w:rsid w:val="00F5250B"/>
    <w:rsid w:val="00F526F5"/>
    <w:rsid w:val="00F530DB"/>
    <w:rsid w:val="00F5403B"/>
    <w:rsid w:val="00F56183"/>
    <w:rsid w:val="00F565E0"/>
    <w:rsid w:val="00F573F8"/>
    <w:rsid w:val="00F609DC"/>
    <w:rsid w:val="00F632C5"/>
    <w:rsid w:val="00F63616"/>
    <w:rsid w:val="00F636D1"/>
    <w:rsid w:val="00F64404"/>
    <w:rsid w:val="00F64F3C"/>
    <w:rsid w:val="00F657B2"/>
    <w:rsid w:val="00F65EF3"/>
    <w:rsid w:val="00F66C9B"/>
    <w:rsid w:val="00F67EFB"/>
    <w:rsid w:val="00F70EDA"/>
    <w:rsid w:val="00F717DA"/>
    <w:rsid w:val="00F72439"/>
    <w:rsid w:val="00F74216"/>
    <w:rsid w:val="00F74453"/>
    <w:rsid w:val="00F76095"/>
    <w:rsid w:val="00F769E0"/>
    <w:rsid w:val="00F777C1"/>
    <w:rsid w:val="00F77DE8"/>
    <w:rsid w:val="00F80E82"/>
    <w:rsid w:val="00F81E68"/>
    <w:rsid w:val="00F83348"/>
    <w:rsid w:val="00F83CBB"/>
    <w:rsid w:val="00F841C3"/>
    <w:rsid w:val="00F847A8"/>
    <w:rsid w:val="00F9078F"/>
    <w:rsid w:val="00F90EC9"/>
    <w:rsid w:val="00F91152"/>
    <w:rsid w:val="00F93435"/>
    <w:rsid w:val="00F95B2D"/>
    <w:rsid w:val="00F960F6"/>
    <w:rsid w:val="00F979CA"/>
    <w:rsid w:val="00FA0EBD"/>
    <w:rsid w:val="00FA13ED"/>
    <w:rsid w:val="00FA1A7B"/>
    <w:rsid w:val="00FA4546"/>
    <w:rsid w:val="00FA504E"/>
    <w:rsid w:val="00FA5150"/>
    <w:rsid w:val="00FB2E1D"/>
    <w:rsid w:val="00FB365C"/>
    <w:rsid w:val="00FB4843"/>
    <w:rsid w:val="00FB5B4E"/>
    <w:rsid w:val="00FB5F3F"/>
    <w:rsid w:val="00FC1AD5"/>
    <w:rsid w:val="00FC2FF6"/>
    <w:rsid w:val="00FC3171"/>
    <w:rsid w:val="00FC5D27"/>
    <w:rsid w:val="00FC5E32"/>
    <w:rsid w:val="00FC60B4"/>
    <w:rsid w:val="00FC7502"/>
    <w:rsid w:val="00FD1D35"/>
    <w:rsid w:val="00FD3615"/>
    <w:rsid w:val="00FD3F0E"/>
    <w:rsid w:val="00FD4EB6"/>
    <w:rsid w:val="00FD564D"/>
    <w:rsid w:val="00FD571E"/>
    <w:rsid w:val="00FD6AB7"/>
    <w:rsid w:val="00FD6C2B"/>
    <w:rsid w:val="00FD712F"/>
    <w:rsid w:val="00FE16B3"/>
    <w:rsid w:val="00FE369E"/>
    <w:rsid w:val="00FE4404"/>
    <w:rsid w:val="00FE4C68"/>
    <w:rsid w:val="00FE74AD"/>
    <w:rsid w:val="00FE772F"/>
    <w:rsid w:val="00FF15D2"/>
    <w:rsid w:val="00FF48F5"/>
    <w:rsid w:val="00FF539D"/>
    <w:rsid w:val="00FF5443"/>
    <w:rsid w:val="00FF5CF5"/>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0705A3-33AE-48C6-9A3A-48BCBF55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qFormat/>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qFormat/>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qFormat/>
    <w:rsid w:val="00C9597C"/>
    <w:rPr>
      <w:rFonts w:ascii="Times New Roman" w:eastAsia="Times New Roman" w:hAnsi="Times New Roman"/>
      <w:lang w:val="en-US"/>
    </w:rPr>
  </w:style>
  <w:style w:type="paragraph" w:styleId="ListParagraph">
    <w:name w:val="List Paragraph"/>
    <w:aliases w:val="lp1"/>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unhideWhenUsed/>
    <w:qFormat/>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qFormat/>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aliases w:val="lp1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30688402">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78143174">
      <w:bodyDiv w:val="1"/>
      <w:marLeft w:val="0"/>
      <w:marRight w:val="0"/>
      <w:marTop w:val="0"/>
      <w:marBottom w:val="0"/>
      <w:divBdr>
        <w:top w:val="none" w:sz="0" w:space="0" w:color="auto"/>
        <w:left w:val="none" w:sz="0" w:space="0" w:color="auto"/>
        <w:bottom w:val="none" w:sz="0" w:space="0" w:color="auto"/>
        <w:right w:val="none" w:sz="0" w:space="0" w:color="auto"/>
      </w:divBdr>
    </w:div>
    <w:div w:id="83497711">
      <w:bodyDiv w:val="1"/>
      <w:marLeft w:val="0"/>
      <w:marRight w:val="0"/>
      <w:marTop w:val="0"/>
      <w:marBottom w:val="0"/>
      <w:divBdr>
        <w:top w:val="none" w:sz="0" w:space="0" w:color="auto"/>
        <w:left w:val="none" w:sz="0" w:space="0" w:color="auto"/>
        <w:bottom w:val="none" w:sz="0" w:space="0" w:color="auto"/>
        <w:right w:val="none" w:sz="0" w:space="0" w:color="auto"/>
      </w:divBdr>
    </w:div>
    <w:div w:id="86271895">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27403914">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6362950">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79665496">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3882987">
      <w:bodyDiv w:val="1"/>
      <w:marLeft w:val="0"/>
      <w:marRight w:val="0"/>
      <w:marTop w:val="0"/>
      <w:marBottom w:val="0"/>
      <w:divBdr>
        <w:top w:val="none" w:sz="0" w:space="0" w:color="auto"/>
        <w:left w:val="none" w:sz="0" w:space="0" w:color="auto"/>
        <w:bottom w:val="none" w:sz="0" w:space="0" w:color="auto"/>
        <w:right w:val="none" w:sz="0" w:space="0" w:color="auto"/>
      </w:divBdr>
      <w:divsChild>
        <w:div w:id="1632318501">
          <w:marLeft w:val="0"/>
          <w:marRight w:val="0"/>
          <w:marTop w:val="0"/>
          <w:marBottom w:val="0"/>
          <w:divBdr>
            <w:top w:val="none" w:sz="0" w:space="0" w:color="auto"/>
            <w:left w:val="none" w:sz="0" w:space="0" w:color="auto"/>
            <w:bottom w:val="none" w:sz="0" w:space="0" w:color="auto"/>
            <w:right w:val="none" w:sz="0" w:space="0" w:color="auto"/>
          </w:divBdr>
        </w:div>
      </w:divsChild>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1815199">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1980141">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551">
      <w:bodyDiv w:val="1"/>
      <w:marLeft w:val="0"/>
      <w:marRight w:val="0"/>
      <w:marTop w:val="0"/>
      <w:marBottom w:val="0"/>
      <w:divBdr>
        <w:top w:val="none" w:sz="0" w:space="0" w:color="auto"/>
        <w:left w:val="none" w:sz="0" w:space="0" w:color="auto"/>
        <w:bottom w:val="none" w:sz="0" w:space="0" w:color="auto"/>
        <w:right w:val="none" w:sz="0" w:space="0" w:color="auto"/>
      </w:divBdr>
      <w:divsChild>
        <w:div w:id="1660690898">
          <w:marLeft w:val="0"/>
          <w:marRight w:val="0"/>
          <w:marTop w:val="0"/>
          <w:marBottom w:val="0"/>
          <w:divBdr>
            <w:top w:val="none" w:sz="0" w:space="0" w:color="auto"/>
            <w:left w:val="none" w:sz="0" w:space="0" w:color="auto"/>
            <w:bottom w:val="none" w:sz="0" w:space="0" w:color="auto"/>
            <w:right w:val="none" w:sz="0" w:space="0" w:color="auto"/>
          </w:divBdr>
        </w:div>
      </w:divsChild>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40667333">
      <w:bodyDiv w:val="1"/>
      <w:marLeft w:val="0"/>
      <w:marRight w:val="0"/>
      <w:marTop w:val="0"/>
      <w:marBottom w:val="0"/>
      <w:divBdr>
        <w:top w:val="none" w:sz="0" w:space="0" w:color="auto"/>
        <w:left w:val="none" w:sz="0" w:space="0" w:color="auto"/>
        <w:bottom w:val="none" w:sz="0" w:space="0" w:color="auto"/>
        <w:right w:val="none" w:sz="0" w:space="0" w:color="auto"/>
      </w:divBdr>
      <w:divsChild>
        <w:div w:id="2005357222">
          <w:marLeft w:val="0"/>
          <w:marRight w:val="0"/>
          <w:marTop w:val="0"/>
          <w:marBottom w:val="0"/>
          <w:divBdr>
            <w:top w:val="none" w:sz="0" w:space="0" w:color="auto"/>
            <w:left w:val="none" w:sz="0" w:space="0" w:color="auto"/>
            <w:bottom w:val="none" w:sz="0" w:space="0" w:color="auto"/>
            <w:right w:val="none" w:sz="0" w:space="0" w:color="auto"/>
          </w:divBdr>
          <w:divsChild>
            <w:div w:id="801192617">
              <w:marLeft w:val="0"/>
              <w:marRight w:val="0"/>
              <w:marTop w:val="0"/>
              <w:marBottom w:val="0"/>
              <w:divBdr>
                <w:top w:val="none" w:sz="0" w:space="0" w:color="auto"/>
                <w:left w:val="none" w:sz="0" w:space="0" w:color="auto"/>
                <w:bottom w:val="none" w:sz="0" w:space="0" w:color="auto"/>
                <w:right w:val="none" w:sz="0" w:space="0" w:color="auto"/>
              </w:divBdr>
              <w:divsChild>
                <w:div w:id="1067848533">
                  <w:marLeft w:val="0"/>
                  <w:marRight w:val="0"/>
                  <w:marTop w:val="0"/>
                  <w:marBottom w:val="0"/>
                  <w:divBdr>
                    <w:top w:val="none" w:sz="0" w:space="0" w:color="auto"/>
                    <w:left w:val="none" w:sz="0" w:space="0" w:color="auto"/>
                    <w:bottom w:val="none" w:sz="0" w:space="0" w:color="auto"/>
                    <w:right w:val="none" w:sz="0" w:space="0" w:color="auto"/>
                  </w:divBdr>
                  <w:divsChild>
                    <w:div w:id="588588077">
                      <w:marLeft w:val="-15"/>
                      <w:marRight w:val="0"/>
                      <w:marTop w:val="0"/>
                      <w:marBottom w:val="0"/>
                      <w:divBdr>
                        <w:top w:val="none" w:sz="0" w:space="0" w:color="auto"/>
                        <w:left w:val="none" w:sz="0" w:space="0" w:color="auto"/>
                        <w:bottom w:val="none" w:sz="0" w:space="0" w:color="auto"/>
                        <w:right w:val="none" w:sz="0" w:space="0" w:color="auto"/>
                      </w:divBdr>
                      <w:divsChild>
                        <w:div w:id="1374306690">
                          <w:marLeft w:val="0"/>
                          <w:marRight w:val="30"/>
                          <w:marTop w:val="45"/>
                          <w:marBottom w:val="60"/>
                          <w:divBdr>
                            <w:top w:val="none" w:sz="0" w:space="0" w:color="auto"/>
                            <w:left w:val="none" w:sz="0" w:space="0" w:color="auto"/>
                            <w:bottom w:val="none" w:sz="0" w:space="0" w:color="auto"/>
                            <w:right w:val="none" w:sz="0" w:space="0" w:color="auto"/>
                          </w:divBdr>
                        </w:div>
                      </w:divsChild>
                    </w:div>
                    <w:div w:id="948045099">
                      <w:marLeft w:val="0"/>
                      <w:marRight w:val="0"/>
                      <w:marTop w:val="0"/>
                      <w:marBottom w:val="0"/>
                      <w:divBdr>
                        <w:top w:val="none" w:sz="0" w:space="0" w:color="auto"/>
                        <w:left w:val="none" w:sz="0" w:space="0" w:color="auto"/>
                        <w:bottom w:val="none" w:sz="0" w:space="0" w:color="auto"/>
                        <w:right w:val="none" w:sz="0" w:space="0" w:color="auto"/>
                      </w:divBdr>
                      <w:divsChild>
                        <w:div w:id="16503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8897">
          <w:marLeft w:val="0"/>
          <w:marRight w:val="0"/>
          <w:marTop w:val="0"/>
          <w:marBottom w:val="0"/>
          <w:divBdr>
            <w:top w:val="none" w:sz="0" w:space="0" w:color="auto"/>
            <w:left w:val="none" w:sz="0" w:space="0" w:color="auto"/>
            <w:bottom w:val="none" w:sz="0" w:space="0" w:color="auto"/>
            <w:right w:val="none" w:sz="0" w:space="0" w:color="auto"/>
          </w:divBdr>
          <w:divsChild>
            <w:div w:id="1847743689">
              <w:marLeft w:val="0"/>
              <w:marRight w:val="0"/>
              <w:marTop w:val="0"/>
              <w:marBottom w:val="0"/>
              <w:divBdr>
                <w:top w:val="none" w:sz="0" w:space="0" w:color="auto"/>
                <w:left w:val="none" w:sz="0" w:space="0" w:color="auto"/>
                <w:bottom w:val="none" w:sz="0" w:space="0" w:color="auto"/>
                <w:right w:val="none" w:sz="0" w:space="0" w:color="auto"/>
              </w:divBdr>
              <w:divsChild>
                <w:div w:id="789977494">
                  <w:marLeft w:val="0"/>
                  <w:marRight w:val="0"/>
                  <w:marTop w:val="15"/>
                  <w:marBottom w:val="0"/>
                  <w:divBdr>
                    <w:top w:val="none" w:sz="0" w:space="0" w:color="auto"/>
                    <w:left w:val="none" w:sz="0" w:space="0" w:color="auto"/>
                    <w:bottom w:val="none" w:sz="0" w:space="0" w:color="auto"/>
                    <w:right w:val="none" w:sz="0" w:space="0" w:color="auto"/>
                  </w:divBdr>
                  <w:divsChild>
                    <w:div w:id="677730455">
                      <w:marLeft w:val="0"/>
                      <w:marRight w:val="0"/>
                      <w:marTop w:val="0"/>
                      <w:marBottom w:val="0"/>
                      <w:divBdr>
                        <w:top w:val="none" w:sz="0" w:space="0" w:color="auto"/>
                        <w:left w:val="none" w:sz="0" w:space="0" w:color="auto"/>
                        <w:bottom w:val="none" w:sz="0" w:space="0" w:color="auto"/>
                        <w:right w:val="none" w:sz="0" w:space="0" w:color="auto"/>
                      </w:divBdr>
                      <w:divsChild>
                        <w:div w:id="937061378">
                          <w:marLeft w:val="0"/>
                          <w:marRight w:val="0"/>
                          <w:marTop w:val="0"/>
                          <w:marBottom w:val="0"/>
                          <w:divBdr>
                            <w:top w:val="none" w:sz="0" w:space="0" w:color="auto"/>
                            <w:left w:val="none" w:sz="0" w:space="0" w:color="auto"/>
                            <w:bottom w:val="none" w:sz="0" w:space="0" w:color="auto"/>
                            <w:right w:val="none" w:sz="0" w:space="0" w:color="auto"/>
                          </w:divBdr>
                        </w:div>
                        <w:div w:id="822238447">
                          <w:marLeft w:val="0"/>
                          <w:marRight w:val="0"/>
                          <w:marTop w:val="0"/>
                          <w:marBottom w:val="0"/>
                          <w:divBdr>
                            <w:top w:val="none" w:sz="0" w:space="0" w:color="auto"/>
                            <w:left w:val="none" w:sz="0" w:space="0" w:color="auto"/>
                            <w:bottom w:val="none" w:sz="0" w:space="0" w:color="auto"/>
                            <w:right w:val="none" w:sz="0" w:space="0" w:color="auto"/>
                          </w:divBdr>
                        </w:div>
                        <w:div w:id="1465005509">
                          <w:marLeft w:val="0"/>
                          <w:marRight w:val="0"/>
                          <w:marTop w:val="0"/>
                          <w:marBottom w:val="0"/>
                          <w:divBdr>
                            <w:top w:val="none" w:sz="0" w:space="0" w:color="auto"/>
                            <w:left w:val="none" w:sz="0" w:space="0" w:color="auto"/>
                            <w:bottom w:val="none" w:sz="0" w:space="0" w:color="auto"/>
                            <w:right w:val="none" w:sz="0" w:space="0" w:color="auto"/>
                          </w:divBdr>
                        </w:div>
                        <w:div w:id="1575165882">
                          <w:marLeft w:val="0"/>
                          <w:marRight w:val="0"/>
                          <w:marTop w:val="0"/>
                          <w:marBottom w:val="0"/>
                          <w:divBdr>
                            <w:top w:val="none" w:sz="0" w:space="0" w:color="auto"/>
                            <w:left w:val="none" w:sz="0" w:space="0" w:color="auto"/>
                            <w:bottom w:val="none" w:sz="0" w:space="0" w:color="auto"/>
                            <w:right w:val="none" w:sz="0" w:space="0" w:color="auto"/>
                          </w:divBdr>
                        </w:div>
                        <w:div w:id="923999382">
                          <w:marLeft w:val="0"/>
                          <w:marRight w:val="0"/>
                          <w:marTop w:val="0"/>
                          <w:marBottom w:val="0"/>
                          <w:divBdr>
                            <w:top w:val="none" w:sz="0" w:space="0" w:color="auto"/>
                            <w:left w:val="none" w:sz="0" w:space="0" w:color="auto"/>
                            <w:bottom w:val="none" w:sz="0" w:space="0" w:color="auto"/>
                            <w:right w:val="none" w:sz="0" w:space="0" w:color="auto"/>
                          </w:divBdr>
                        </w:div>
                        <w:div w:id="747577598">
                          <w:marLeft w:val="0"/>
                          <w:marRight w:val="0"/>
                          <w:marTop w:val="0"/>
                          <w:marBottom w:val="0"/>
                          <w:divBdr>
                            <w:top w:val="none" w:sz="0" w:space="0" w:color="auto"/>
                            <w:left w:val="none" w:sz="0" w:space="0" w:color="auto"/>
                            <w:bottom w:val="none" w:sz="0" w:space="0" w:color="auto"/>
                            <w:right w:val="none" w:sz="0" w:space="0" w:color="auto"/>
                          </w:divBdr>
                        </w:div>
                        <w:div w:id="797407157">
                          <w:marLeft w:val="0"/>
                          <w:marRight w:val="0"/>
                          <w:marTop w:val="0"/>
                          <w:marBottom w:val="0"/>
                          <w:divBdr>
                            <w:top w:val="none" w:sz="0" w:space="0" w:color="auto"/>
                            <w:left w:val="none" w:sz="0" w:space="0" w:color="auto"/>
                            <w:bottom w:val="none" w:sz="0" w:space="0" w:color="auto"/>
                            <w:right w:val="none" w:sz="0" w:space="0" w:color="auto"/>
                          </w:divBdr>
                        </w:div>
                        <w:div w:id="319970994">
                          <w:marLeft w:val="0"/>
                          <w:marRight w:val="0"/>
                          <w:marTop w:val="0"/>
                          <w:marBottom w:val="0"/>
                          <w:divBdr>
                            <w:top w:val="none" w:sz="0" w:space="0" w:color="auto"/>
                            <w:left w:val="none" w:sz="0" w:space="0" w:color="auto"/>
                            <w:bottom w:val="none" w:sz="0" w:space="0" w:color="auto"/>
                            <w:right w:val="none" w:sz="0" w:space="0" w:color="auto"/>
                          </w:divBdr>
                        </w:div>
                        <w:div w:id="1799839688">
                          <w:marLeft w:val="0"/>
                          <w:marRight w:val="0"/>
                          <w:marTop w:val="0"/>
                          <w:marBottom w:val="0"/>
                          <w:divBdr>
                            <w:top w:val="none" w:sz="0" w:space="0" w:color="auto"/>
                            <w:left w:val="none" w:sz="0" w:space="0" w:color="auto"/>
                            <w:bottom w:val="none" w:sz="0" w:space="0" w:color="auto"/>
                            <w:right w:val="none" w:sz="0" w:space="0" w:color="auto"/>
                          </w:divBdr>
                        </w:div>
                        <w:div w:id="247347765">
                          <w:marLeft w:val="0"/>
                          <w:marRight w:val="0"/>
                          <w:marTop w:val="0"/>
                          <w:marBottom w:val="0"/>
                          <w:divBdr>
                            <w:top w:val="none" w:sz="0" w:space="0" w:color="auto"/>
                            <w:left w:val="none" w:sz="0" w:space="0" w:color="auto"/>
                            <w:bottom w:val="none" w:sz="0" w:space="0" w:color="auto"/>
                            <w:right w:val="none" w:sz="0" w:space="0" w:color="auto"/>
                          </w:divBdr>
                        </w:div>
                        <w:div w:id="470753904">
                          <w:marLeft w:val="0"/>
                          <w:marRight w:val="0"/>
                          <w:marTop w:val="0"/>
                          <w:marBottom w:val="0"/>
                          <w:divBdr>
                            <w:top w:val="none" w:sz="0" w:space="0" w:color="auto"/>
                            <w:left w:val="none" w:sz="0" w:space="0" w:color="auto"/>
                            <w:bottom w:val="none" w:sz="0" w:space="0" w:color="auto"/>
                            <w:right w:val="none" w:sz="0" w:space="0" w:color="auto"/>
                          </w:divBdr>
                        </w:div>
                        <w:div w:id="587422974">
                          <w:marLeft w:val="0"/>
                          <w:marRight w:val="0"/>
                          <w:marTop w:val="0"/>
                          <w:marBottom w:val="0"/>
                          <w:divBdr>
                            <w:top w:val="none" w:sz="0" w:space="0" w:color="auto"/>
                            <w:left w:val="none" w:sz="0" w:space="0" w:color="auto"/>
                            <w:bottom w:val="none" w:sz="0" w:space="0" w:color="auto"/>
                            <w:right w:val="none" w:sz="0" w:space="0" w:color="auto"/>
                          </w:divBdr>
                        </w:div>
                        <w:div w:id="423303602">
                          <w:marLeft w:val="0"/>
                          <w:marRight w:val="0"/>
                          <w:marTop w:val="0"/>
                          <w:marBottom w:val="0"/>
                          <w:divBdr>
                            <w:top w:val="none" w:sz="0" w:space="0" w:color="auto"/>
                            <w:left w:val="none" w:sz="0" w:space="0" w:color="auto"/>
                            <w:bottom w:val="none" w:sz="0" w:space="0" w:color="auto"/>
                            <w:right w:val="none" w:sz="0" w:space="0" w:color="auto"/>
                          </w:divBdr>
                        </w:div>
                        <w:div w:id="1238713564">
                          <w:marLeft w:val="0"/>
                          <w:marRight w:val="0"/>
                          <w:marTop w:val="0"/>
                          <w:marBottom w:val="0"/>
                          <w:divBdr>
                            <w:top w:val="none" w:sz="0" w:space="0" w:color="auto"/>
                            <w:left w:val="none" w:sz="0" w:space="0" w:color="auto"/>
                            <w:bottom w:val="none" w:sz="0" w:space="0" w:color="auto"/>
                            <w:right w:val="none" w:sz="0" w:space="0" w:color="auto"/>
                          </w:divBdr>
                        </w:div>
                        <w:div w:id="1345398995">
                          <w:marLeft w:val="0"/>
                          <w:marRight w:val="0"/>
                          <w:marTop w:val="0"/>
                          <w:marBottom w:val="0"/>
                          <w:divBdr>
                            <w:top w:val="none" w:sz="0" w:space="0" w:color="auto"/>
                            <w:left w:val="none" w:sz="0" w:space="0" w:color="auto"/>
                            <w:bottom w:val="none" w:sz="0" w:space="0" w:color="auto"/>
                            <w:right w:val="none" w:sz="0" w:space="0" w:color="auto"/>
                          </w:divBdr>
                        </w:div>
                        <w:div w:id="1137993394">
                          <w:marLeft w:val="0"/>
                          <w:marRight w:val="0"/>
                          <w:marTop w:val="0"/>
                          <w:marBottom w:val="0"/>
                          <w:divBdr>
                            <w:top w:val="none" w:sz="0" w:space="0" w:color="auto"/>
                            <w:left w:val="none" w:sz="0" w:space="0" w:color="auto"/>
                            <w:bottom w:val="none" w:sz="0" w:space="0" w:color="auto"/>
                            <w:right w:val="none" w:sz="0" w:space="0" w:color="auto"/>
                          </w:divBdr>
                        </w:div>
                        <w:div w:id="1939018501">
                          <w:marLeft w:val="0"/>
                          <w:marRight w:val="0"/>
                          <w:marTop w:val="0"/>
                          <w:marBottom w:val="0"/>
                          <w:divBdr>
                            <w:top w:val="none" w:sz="0" w:space="0" w:color="auto"/>
                            <w:left w:val="none" w:sz="0" w:space="0" w:color="auto"/>
                            <w:bottom w:val="none" w:sz="0" w:space="0" w:color="auto"/>
                            <w:right w:val="none" w:sz="0" w:space="0" w:color="auto"/>
                          </w:divBdr>
                        </w:div>
                        <w:div w:id="612447131">
                          <w:marLeft w:val="0"/>
                          <w:marRight w:val="0"/>
                          <w:marTop w:val="0"/>
                          <w:marBottom w:val="0"/>
                          <w:divBdr>
                            <w:top w:val="none" w:sz="0" w:space="0" w:color="auto"/>
                            <w:left w:val="none" w:sz="0" w:space="0" w:color="auto"/>
                            <w:bottom w:val="none" w:sz="0" w:space="0" w:color="auto"/>
                            <w:right w:val="none" w:sz="0" w:space="0" w:color="auto"/>
                          </w:divBdr>
                        </w:div>
                        <w:div w:id="1725760580">
                          <w:marLeft w:val="0"/>
                          <w:marRight w:val="0"/>
                          <w:marTop w:val="0"/>
                          <w:marBottom w:val="0"/>
                          <w:divBdr>
                            <w:top w:val="none" w:sz="0" w:space="0" w:color="auto"/>
                            <w:left w:val="none" w:sz="0" w:space="0" w:color="auto"/>
                            <w:bottom w:val="none" w:sz="0" w:space="0" w:color="auto"/>
                            <w:right w:val="none" w:sz="0" w:space="0" w:color="auto"/>
                          </w:divBdr>
                        </w:div>
                        <w:div w:id="1018233466">
                          <w:marLeft w:val="0"/>
                          <w:marRight w:val="0"/>
                          <w:marTop w:val="0"/>
                          <w:marBottom w:val="0"/>
                          <w:divBdr>
                            <w:top w:val="none" w:sz="0" w:space="0" w:color="auto"/>
                            <w:left w:val="none" w:sz="0" w:space="0" w:color="auto"/>
                            <w:bottom w:val="none" w:sz="0" w:space="0" w:color="auto"/>
                            <w:right w:val="none" w:sz="0" w:space="0" w:color="auto"/>
                          </w:divBdr>
                        </w:div>
                        <w:div w:id="391580719">
                          <w:marLeft w:val="0"/>
                          <w:marRight w:val="0"/>
                          <w:marTop w:val="0"/>
                          <w:marBottom w:val="0"/>
                          <w:divBdr>
                            <w:top w:val="none" w:sz="0" w:space="0" w:color="auto"/>
                            <w:left w:val="none" w:sz="0" w:space="0" w:color="auto"/>
                            <w:bottom w:val="none" w:sz="0" w:space="0" w:color="auto"/>
                            <w:right w:val="none" w:sz="0" w:space="0" w:color="auto"/>
                          </w:divBdr>
                        </w:div>
                        <w:div w:id="2013216068">
                          <w:marLeft w:val="0"/>
                          <w:marRight w:val="0"/>
                          <w:marTop w:val="0"/>
                          <w:marBottom w:val="0"/>
                          <w:divBdr>
                            <w:top w:val="none" w:sz="0" w:space="0" w:color="auto"/>
                            <w:left w:val="none" w:sz="0" w:space="0" w:color="auto"/>
                            <w:bottom w:val="none" w:sz="0" w:space="0" w:color="auto"/>
                            <w:right w:val="none" w:sz="0" w:space="0" w:color="auto"/>
                          </w:divBdr>
                        </w:div>
                        <w:div w:id="1996179336">
                          <w:marLeft w:val="0"/>
                          <w:marRight w:val="0"/>
                          <w:marTop w:val="0"/>
                          <w:marBottom w:val="0"/>
                          <w:divBdr>
                            <w:top w:val="none" w:sz="0" w:space="0" w:color="auto"/>
                            <w:left w:val="none" w:sz="0" w:space="0" w:color="auto"/>
                            <w:bottom w:val="none" w:sz="0" w:space="0" w:color="auto"/>
                            <w:right w:val="none" w:sz="0" w:space="0" w:color="auto"/>
                          </w:divBdr>
                        </w:div>
                        <w:div w:id="1409618714">
                          <w:marLeft w:val="0"/>
                          <w:marRight w:val="0"/>
                          <w:marTop w:val="0"/>
                          <w:marBottom w:val="0"/>
                          <w:divBdr>
                            <w:top w:val="none" w:sz="0" w:space="0" w:color="auto"/>
                            <w:left w:val="none" w:sz="0" w:space="0" w:color="auto"/>
                            <w:bottom w:val="none" w:sz="0" w:space="0" w:color="auto"/>
                            <w:right w:val="none" w:sz="0" w:space="0" w:color="auto"/>
                          </w:divBdr>
                        </w:div>
                        <w:div w:id="1711766125">
                          <w:marLeft w:val="0"/>
                          <w:marRight w:val="0"/>
                          <w:marTop w:val="0"/>
                          <w:marBottom w:val="0"/>
                          <w:divBdr>
                            <w:top w:val="none" w:sz="0" w:space="0" w:color="auto"/>
                            <w:left w:val="none" w:sz="0" w:space="0" w:color="auto"/>
                            <w:bottom w:val="none" w:sz="0" w:space="0" w:color="auto"/>
                            <w:right w:val="none" w:sz="0" w:space="0" w:color="auto"/>
                          </w:divBdr>
                        </w:div>
                        <w:div w:id="1594512688">
                          <w:marLeft w:val="0"/>
                          <w:marRight w:val="0"/>
                          <w:marTop w:val="0"/>
                          <w:marBottom w:val="0"/>
                          <w:divBdr>
                            <w:top w:val="none" w:sz="0" w:space="0" w:color="auto"/>
                            <w:left w:val="none" w:sz="0" w:space="0" w:color="auto"/>
                            <w:bottom w:val="none" w:sz="0" w:space="0" w:color="auto"/>
                            <w:right w:val="none" w:sz="0" w:space="0" w:color="auto"/>
                          </w:divBdr>
                        </w:div>
                        <w:div w:id="1137651336">
                          <w:marLeft w:val="0"/>
                          <w:marRight w:val="0"/>
                          <w:marTop w:val="0"/>
                          <w:marBottom w:val="0"/>
                          <w:divBdr>
                            <w:top w:val="none" w:sz="0" w:space="0" w:color="auto"/>
                            <w:left w:val="none" w:sz="0" w:space="0" w:color="auto"/>
                            <w:bottom w:val="none" w:sz="0" w:space="0" w:color="auto"/>
                            <w:right w:val="none" w:sz="0" w:space="0" w:color="auto"/>
                          </w:divBdr>
                        </w:div>
                        <w:div w:id="790825123">
                          <w:marLeft w:val="0"/>
                          <w:marRight w:val="0"/>
                          <w:marTop w:val="0"/>
                          <w:marBottom w:val="0"/>
                          <w:divBdr>
                            <w:top w:val="none" w:sz="0" w:space="0" w:color="auto"/>
                            <w:left w:val="none" w:sz="0" w:space="0" w:color="auto"/>
                            <w:bottom w:val="none" w:sz="0" w:space="0" w:color="auto"/>
                            <w:right w:val="none" w:sz="0" w:space="0" w:color="auto"/>
                          </w:divBdr>
                        </w:div>
                        <w:div w:id="1452280773">
                          <w:marLeft w:val="0"/>
                          <w:marRight w:val="0"/>
                          <w:marTop w:val="0"/>
                          <w:marBottom w:val="0"/>
                          <w:divBdr>
                            <w:top w:val="none" w:sz="0" w:space="0" w:color="auto"/>
                            <w:left w:val="none" w:sz="0" w:space="0" w:color="auto"/>
                            <w:bottom w:val="none" w:sz="0" w:space="0" w:color="auto"/>
                            <w:right w:val="none" w:sz="0" w:space="0" w:color="auto"/>
                          </w:divBdr>
                        </w:div>
                        <w:div w:id="478377538">
                          <w:marLeft w:val="0"/>
                          <w:marRight w:val="0"/>
                          <w:marTop w:val="0"/>
                          <w:marBottom w:val="0"/>
                          <w:divBdr>
                            <w:top w:val="none" w:sz="0" w:space="0" w:color="auto"/>
                            <w:left w:val="none" w:sz="0" w:space="0" w:color="auto"/>
                            <w:bottom w:val="none" w:sz="0" w:space="0" w:color="auto"/>
                            <w:right w:val="none" w:sz="0" w:space="0" w:color="auto"/>
                          </w:divBdr>
                        </w:div>
                        <w:div w:id="1909147628">
                          <w:marLeft w:val="0"/>
                          <w:marRight w:val="0"/>
                          <w:marTop w:val="0"/>
                          <w:marBottom w:val="0"/>
                          <w:divBdr>
                            <w:top w:val="none" w:sz="0" w:space="0" w:color="auto"/>
                            <w:left w:val="none" w:sz="0" w:space="0" w:color="auto"/>
                            <w:bottom w:val="none" w:sz="0" w:space="0" w:color="auto"/>
                            <w:right w:val="none" w:sz="0" w:space="0" w:color="auto"/>
                          </w:divBdr>
                        </w:div>
                        <w:div w:id="1138645579">
                          <w:marLeft w:val="0"/>
                          <w:marRight w:val="0"/>
                          <w:marTop w:val="0"/>
                          <w:marBottom w:val="0"/>
                          <w:divBdr>
                            <w:top w:val="none" w:sz="0" w:space="0" w:color="auto"/>
                            <w:left w:val="none" w:sz="0" w:space="0" w:color="auto"/>
                            <w:bottom w:val="none" w:sz="0" w:space="0" w:color="auto"/>
                            <w:right w:val="none" w:sz="0" w:space="0" w:color="auto"/>
                          </w:divBdr>
                        </w:div>
                        <w:div w:id="343635069">
                          <w:marLeft w:val="0"/>
                          <w:marRight w:val="0"/>
                          <w:marTop w:val="0"/>
                          <w:marBottom w:val="0"/>
                          <w:divBdr>
                            <w:top w:val="none" w:sz="0" w:space="0" w:color="auto"/>
                            <w:left w:val="none" w:sz="0" w:space="0" w:color="auto"/>
                            <w:bottom w:val="none" w:sz="0" w:space="0" w:color="auto"/>
                            <w:right w:val="none" w:sz="0" w:space="0" w:color="auto"/>
                          </w:divBdr>
                        </w:div>
                        <w:div w:id="196351939">
                          <w:marLeft w:val="0"/>
                          <w:marRight w:val="0"/>
                          <w:marTop w:val="0"/>
                          <w:marBottom w:val="0"/>
                          <w:divBdr>
                            <w:top w:val="none" w:sz="0" w:space="0" w:color="auto"/>
                            <w:left w:val="none" w:sz="0" w:space="0" w:color="auto"/>
                            <w:bottom w:val="none" w:sz="0" w:space="0" w:color="auto"/>
                            <w:right w:val="none" w:sz="0" w:space="0" w:color="auto"/>
                          </w:divBdr>
                        </w:div>
                        <w:div w:id="706561036">
                          <w:marLeft w:val="0"/>
                          <w:marRight w:val="0"/>
                          <w:marTop w:val="0"/>
                          <w:marBottom w:val="0"/>
                          <w:divBdr>
                            <w:top w:val="none" w:sz="0" w:space="0" w:color="auto"/>
                            <w:left w:val="none" w:sz="0" w:space="0" w:color="auto"/>
                            <w:bottom w:val="none" w:sz="0" w:space="0" w:color="auto"/>
                            <w:right w:val="none" w:sz="0" w:space="0" w:color="auto"/>
                          </w:divBdr>
                        </w:div>
                        <w:div w:id="446697801">
                          <w:marLeft w:val="0"/>
                          <w:marRight w:val="0"/>
                          <w:marTop w:val="0"/>
                          <w:marBottom w:val="0"/>
                          <w:divBdr>
                            <w:top w:val="none" w:sz="0" w:space="0" w:color="auto"/>
                            <w:left w:val="none" w:sz="0" w:space="0" w:color="auto"/>
                            <w:bottom w:val="none" w:sz="0" w:space="0" w:color="auto"/>
                            <w:right w:val="none" w:sz="0" w:space="0" w:color="auto"/>
                          </w:divBdr>
                        </w:div>
                        <w:div w:id="922105207">
                          <w:marLeft w:val="0"/>
                          <w:marRight w:val="0"/>
                          <w:marTop w:val="0"/>
                          <w:marBottom w:val="0"/>
                          <w:divBdr>
                            <w:top w:val="none" w:sz="0" w:space="0" w:color="auto"/>
                            <w:left w:val="none" w:sz="0" w:space="0" w:color="auto"/>
                            <w:bottom w:val="none" w:sz="0" w:space="0" w:color="auto"/>
                            <w:right w:val="none" w:sz="0" w:space="0" w:color="auto"/>
                          </w:divBdr>
                        </w:div>
                        <w:div w:id="795299047">
                          <w:marLeft w:val="0"/>
                          <w:marRight w:val="0"/>
                          <w:marTop w:val="0"/>
                          <w:marBottom w:val="0"/>
                          <w:divBdr>
                            <w:top w:val="none" w:sz="0" w:space="0" w:color="auto"/>
                            <w:left w:val="none" w:sz="0" w:space="0" w:color="auto"/>
                            <w:bottom w:val="none" w:sz="0" w:space="0" w:color="auto"/>
                            <w:right w:val="none" w:sz="0" w:space="0" w:color="auto"/>
                          </w:divBdr>
                        </w:div>
                        <w:div w:id="1462533653">
                          <w:marLeft w:val="0"/>
                          <w:marRight w:val="0"/>
                          <w:marTop w:val="0"/>
                          <w:marBottom w:val="0"/>
                          <w:divBdr>
                            <w:top w:val="none" w:sz="0" w:space="0" w:color="auto"/>
                            <w:left w:val="none" w:sz="0" w:space="0" w:color="auto"/>
                            <w:bottom w:val="none" w:sz="0" w:space="0" w:color="auto"/>
                            <w:right w:val="none" w:sz="0" w:space="0" w:color="auto"/>
                          </w:divBdr>
                        </w:div>
                        <w:div w:id="185950991">
                          <w:marLeft w:val="0"/>
                          <w:marRight w:val="0"/>
                          <w:marTop w:val="0"/>
                          <w:marBottom w:val="0"/>
                          <w:divBdr>
                            <w:top w:val="none" w:sz="0" w:space="0" w:color="auto"/>
                            <w:left w:val="none" w:sz="0" w:space="0" w:color="auto"/>
                            <w:bottom w:val="none" w:sz="0" w:space="0" w:color="auto"/>
                            <w:right w:val="none" w:sz="0" w:space="0" w:color="auto"/>
                          </w:divBdr>
                        </w:div>
                        <w:div w:id="1817407516">
                          <w:marLeft w:val="0"/>
                          <w:marRight w:val="0"/>
                          <w:marTop w:val="0"/>
                          <w:marBottom w:val="0"/>
                          <w:divBdr>
                            <w:top w:val="none" w:sz="0" w:space="0" w:color="auto"/>
                            <w:left w:val="none" w:sz="0" w:space="0" w:color="auto"/>
                            <w:bottom w:val="none" w:sz="0" w:space="0" w:color="auto"/>
                            <w:right w:val="none" w:sz="0" w:space="0" w:color="auto"/>
                          </w:divBdr>
                        </w:div>
                        <w:div w:id="2092852135">
                          <w:marLeft w:val="0"/>
                          <w:marRight w:val="0"/>
                          <w:marTop w:val="0"/>
                          <w:marBottom w:val="0"/>
                          <w:divBdr>
                            <w:top w:val="none" w:sz="0" w:space="0" w:color="auto"/>
                            <w:left w:val="none" w:sz="0" w:space="0" w:color="auto"/>
                            <w:bottom w:val="none" w:sz="0" w:space="0" w:color="auto"/>
                            <w:right w:val="none" w:sz="0" w:space="0" w:color="auto"/>
                          </w:divBdr>
                        </w:div>
                        <w:div w:id="492063570">
                          <w:marLeft w:val="0"/>
                          <w:marRight w:val="0"/>
                          <w:marTop w:val="0"/>
                          <w:marBottom w:val="0"/>
                          <w:divBdr>
                            <w:top w:val="none" w:sz="0" w:space="0" w:color="auto"/>
                            <w:left w:val="none" w:sz="0" w:space="0" w:color="auto"/>
                            <w:bottom w:val="none" w:sz="0" w:space="0" w:color="auto"/>
                            <w:right w:val="none" w:sz="0" w:space="0" w:color="auto"/>
                          </w:divBdr>
                        </w:div>
                        <w:div w:id="880942717">
                          <w:marLeft w:val="0"/>
                          <w:marRight w:val="0"/>
                          <w:marTop w:val="0"/>
                          <w:marBottom w:val="0"/>
                          <w:divBdr>
                            <w:top w:val="none" w:sz="0" w:space="0" w:color="auto"/>
                            <w:left w:val="none" w:sz="0" w:space="0" w:color="auto"/>
                            <w:bottom w:val="none" w:sz="0" w:space="0" w:color="auto"/>
                            <w:right w:val="none" w:sz="0" w:space="0" w:color="auto"/>
                          </w:divBdr>
                        </w:div>
                        <w:div w:id="1118375457">
                          <w:marLeft w:val="0"/>
                          <w:marRight w:val="0"/>
                          <w:marTop w:val="0"/>
                          <w:marBottom w:val="0"/>
                          <w:divBdr>
                            <w:top w:val="none" w:sz="0" w:space="0" w:color="auto"/>
                            <w:left w:val="none" w:sz="0" w:space="0" w:color="auto"/>
                            <w:bottom w:val="none" w:sz="0" w:space="0" w:color="auto"/>
                            <w:right w:val="none" w:sz="0" w:space="0" w:color="auto"/>
                          </w:divBdr>
                        </w:div>
                        <w:div w:id="274404334">
                          <w:marLeft w:val="0"/>
                          <w:marRight w:val="0"/>
                          <w:marTop w:val="0"/>
                          <w:marBottom w:val="0"/>
                          <w:divBdr>
                            <w:top w:val="none" w:sz="0" w:space="0" w:color="auto"/>
                            <w:left w:val="none" w:sz="0" w:space="0" w:color="auto"/>
                            <w:bottom w:val="none" w:sz="0" w:space="0" w:color="auto"/>
                            <w:right w:val="none" w:sz="0" w:space="0" w:color="auto"/>
                          </w:divBdr>
                        </w:div>
                        <w:div w:id="287703785">
                          <w:marLeft w:val="0"/>
                          <w:marRight w:val="0"/>
                          <w:marTop w:val="0"/>
                          <w:marBottom w:val="0"/>
                          <w:divBdr>
                            <w:top w:val="none" w:sz="0" w:space="0" w:color="auto"/>
                            <w:left w:val="none" w:sz="0" w:space="0" w:color="auto"/>
                            <w:bottom w:val="none" w:sz="0" w:space="0" w:color="auto"/>
                            <w:right w:val="none" w:sz="0" w:space="0" w:color="auto"/>
                          </w:divBdr>
                        </w:div>
                        <w:div w:id="459029928">
                          <w:marLeft w:val="0"/>
                          <w:marRight w:val="0"/>
                          <w:marTop w:val="0"/>
                          <w:marBottom w:val="0"/>
                          <w:divBdr>
                            <w:top w:val="none" w:sz="0" w:space="0" w:color="auto"/>
                            <w:left w:val="none" w:sz="0" w:space="0" w:color="auto"/>
                            <w:bottom w:val="none" w:sz="0" w:space="0" w:color="auto"/>
                            <w:right w:val="none" w:sz="0" w:space="0" w:color="auto"/>
                          </w:divBdr>
                        </w:div>
                        <w:div w:id="2130850391">
                          <w:marLeft w:val="0"/>
                          <w:marRight w:val="0"/>
                          <w:marTop w:val="0"/>
                          <w:marBottom w:val="0"/>
                          <w:divBdr>
                            <w:top w:val="none" w:sz="0" w:space="0" w:color="auto"/>
                            <w:left w:val="none" w:sz="0" w:space="0" w:color="auto"/>
                            <w:bottom w:val="none" w:sz="0" w:space="0" w:color="auto"/>
                            <w:right w:val="none" w:sz="0" w:space="0" w:color="auto"/>
                          </w:divBdr>
                        </w:div>
                        <w:div w:id="1341855803">
                          <w:marLeft w:val="0"/>
                          <w:marRight w:val="0"/>
                          <w:marTop w:val="0"/>
                          <w:marBottom w:val="0"/>
                          <w:divBdr>
                            <w:top w:val="none" w:sz="0" w:space="0" w:color="auto"/>
                            <w:left w:val="none" w:sz="0" w:space="0" w:color="auto"/>
                            <w:bottom w:val="none" w:sz="0" w:space="0" w:color="auto"/>
                            <w:right w:val="none" w:sz="0" w:space="0" w:color="auto"/>
                          </w:divBdr>
                        </w:div>
                        <w:div w:id="375619183">
                          <w:marLeft w:val="0"/>
                          <w:marRight w:val="0"/>
                          <w:marTop w:val="0"/>
                          <w:marBottom w:val="0"/>
                          <w:divBdr>
                            <w:top w:val="none" w:sz="0" w:space="0" w:color="auto"/>
                            <w:left w:val="none" w:sz="0" w:space="0" w:color="auto"/>
                            <w:bottom w:val="none" w:sz="0" w:space="0" w:color="auto"/>
                            <w:right w:val="none" w:sz="0" w:space="0" w:color="auto"/>
                          </w:divBdr>
                        </w:div>
                        <w:div w:id="645475772">
                          <w:marLeft w:val="0"/>
                          <w:marRight w:val="0"/>
                          <w:marTop w:val="0"/>
                          <w:marBottom w:val="0"/>
                          <w:divBdr>
                            <w:top w:val="none" w:sz="0" w:space="0" w:color="auto"/>
                            <w:left w:val="none" w:sz="0" w:space="0" w:color="auto"/>
                            <w:bottom w:val="none" w:sz="0" w:space="0" w:color="auto"/>
                            <w:right w:val="none" w:sz="0" w:space="0" w:color="auto"/>
                          </w:divBdr>
                        </w:div>
                        <w:div w:id="209922112">
                          <w:marLeft w:val="0"/>
                          <w:marRight w:val="0"/>
                          <w:marTop w:val="0"/>
                          <w:marBottom w:val="0"/>
                          <w:divBdr>
                            <w:top w:val="none" w:sz="0" w:space="0" w:color="auto"/>
                            <w:left w:val="none" w:sz="0" w:space="0" w:color="auto"/>
                            <w:bottom w:val="none" w:sz="0" w:space="0" w:color="auto"/>
                            <w:right w:val="none" w:sz="0" w:space="0" w:color="auto"/>
                          </w:divBdr>
                        </w:div>
                        <w:div w:id="1068071298">
                          <w:marLeft w:val="0"/>
                          <w:marRight w:val="0"/>
                          <w:marTop w:val="0"/>
                          <w:marBottom w:val="0"/>
                          <w:divBdr>
                            <w:top w:val="none" w:sz="0" w:space="0" w:color="auto"/>
                            <w:left w:val="none" w:sz="0" w:space="0" w:color="auto"/>
                            <w:bottom w:val="none" w:sz="0" w:space="0" w:color="auto"/>
                            <w:right w:val="none" w:sz="0" w:space="0" w:color="auto"/>
                          </w:divBdr>
                        </w:div>
                        <w:div w:id="266281776">
                          <w:marLeft w:val="0"/>
                          <w:marRight w:val="0"/>
                          <w:marTop w:val="0"/>
                          <w:marBottom w:val="0"/>
                          <w:divBdr>
                            <w:top w:val="none" w:sz="0" w:space="0" w:color="auto"/>
                            <w:left w:val="none" w:sz="0" w:space="0" w:color="auto"/>
                            <w:bottom w:val="none" w:sz="0" w:space="0" w:color="auto"/>
                            <w:right w:val="none" w:sz="0" w:space="0" w:color="auto"/>
                          </w:divBdr>
                        </w:div>
                        <w:div w:id="105347691">
                          <w:marLeft w:val="0"/>
                          <w:marRight w:val="0"/>
                          <w:marTop w:val="0"/>
                          <w:marBottom w:val="0"/>
                          <w:divBdr>
                            <w:top w:val="none" w:sz="0" w:space="0" w:color="auto"/>
                            <w:left w:val="none" w:sz="0" w:space="0" w:color="auto"/>
                            <w:bottom w:val="none" w:sz="0" w:space="0" w:color="auto"/>
                            <w:right w:val="none" w:sz="0" w:space="0" w:color="auto"/>
                          </w:divBdr>
                        </w:div>
                        <w:div w:id="2435366">
                          <w:marLeft w:val="0"/>
                          <w:marRight w:val="0"/>
                          <w:marTop w:val="0"/>
                          <w:marBottom w:val="0"/>
                          <w:divBdr>
                            <w:top w:val="none" w:sz="0" w:space="0" w:color="auto"/>
                            <w:left w:val="none" w:sz="0" w:space="0" w:color="auto"/>
                            <w:bottom w:val="none" w:sz="0" w:space="0" w:color="auto"/>
                            <w:right w:val="none" w:sz="0" w:space="0" w:color="auto"/>
                          </w:divBdr>
                        </w:div>
                        <w:div w:id="796946775">
                          <w:marLeft w:val="0"/>
                          <w:marRight w:val="0"/>
                          <w:marTop w:val="0"/>
                          <w:marBottom w:val="0"/>
                          <w:divBdr>
                            <w:top w:val="none" w:sz="0" w:space="0" w:color="auto"/>
                            <w:left w:val="none" w:sz="0" w:space="0" w:color="auto"/>
                            <w:bottom w:val="none" w:sz="0" w:space="0" w:color="auto"/>
                            <w:right w:val="none" w:sz="0" w:space="0" w:color="auto"/>
                          </w:divBdr>
                        </w:div>
                        <w:div w:id="1241018712">
                          <w:marLeft w:val="0"/>
                          <w:marRight w:val="0"/>
                          <w:marTop w:val="0"/>
                          <w:marBottom w:val="0"/>
                          <w:divBdr>
                            <w:top w:val="none" w:sz="0" w:space="0" w:color="auto"/>
                            <w:left w:val="none" w:sz="0" w:space="0" w:color="auto"/>
                            <w:bottom w:val="none" w:sz="0" w:space="0" w:color="auto"/>
                            <w:right w:val="none" w:sz="0" w:space="0" w:color="auto"/>
                          </w:divBdr>
                        </w:div>
                        <w:div w:id="1559972765">
                          <w:marLeft w:val="0"/>
                          <w:marRight w:val="0"/>
                          <w:marTop w:val="0"/>
                          <w:marBottom w:val="0"/>
                          <w:divBdr>
                            <w:top w:val="none" w:sz="0" w:space="0" w:color="auto"/>
                            <w:left w:val="none" w:sz="0" w:space="0" w:color="auto"/>
                            <w:bottom w:val="none" w:sz="0" w:space="0" w:color="auto"/>
                            <w:right w:val="none" w:sz="0" w:space="0" w:color="auto"/>
                          </w:divBdr>
                        </w:div>
                        <w:div w:id="1920095950">
                          <w:marLeft w:val="0"/>
                          <w:marRight w:val="0"/>
                          <w:marTop w:val="0"/>
                          <w:marBottom w:val="0"/>
                          <w:divBdr>
                            <w:top w:val="none" w:sz="0" w:space="0" w:color="auto"/>
                            <w:left w:val="none" w:sz="0" w:space="0" w:color="auto"/>
                            <w:bottom w:val="none" w:sz="0" w:space="0" w:color="auto"/>
                            <w:right w:val="none" w:sz="0" w:space="0" w:color="auto"/>
                          </w:divBdr>
                        </w:div>
                        <w:div w:id="744496552">
                          <w:marLeft w:val="0"/>
                          <w:marRight w:val="0"/>
                          <w:marTop w:val="0"/>
                          <w:marBottom w:val="0"/>
                          <w:divBdr>
                            <w:top w:val="none" w:sz="0" w:space="0" w:color="auto"/>
                            <w:left w:val="none" w:sz="0" w:space="0" w:color="auto"/>
                            <w:bottom w:val="none" w:sz="0" w:space="0" w:color="auto"/>
                            <w:right w:val="none" w:sz="0" w:space="0" w:color="auto"/>
                          </w:divBdr>
                        </w:div>
                        <w:div w:id="8863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667">
                  <w:marLeft w:val="0"/>
                  <w:marRight w:val="0"/>
                  <w:marTop w:val="15"/>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0"/>
                      <w:divBdr>
                        <w:top w:val="none" w:sz="0" w:space="0" w:color="auto"/>
                        <w:left w:val="none" w:sz="0" w:space="0" w:color="auto"/>
                        <w:bottom w:val="none" w:sz="0" w:space="0" w:color="auto"/>
                        <w:right w:val="none" w:sz="0" w:space="0" w:color="auto"/>
                      </w:divBdr>
                      <w:divsChild>
                        <w:div w:id="317729565">
                          <w:marLeft w:val="0"/>
                          <w:marRight w:val="0"/>
                          <w:marTop w:val="0"/>
                          <w:marBottom w:val="0"/>
                          <w:divBdr>
                            <w:top w:val="none" w:sz="0" w:space="0" w:color="auto"/>
                            <w:left w:val="none" w:sz="0" w:space="0" w:color="auto"/>
                            <w:bottom w:val="none" w:sz="0" w:space="0" w:color="auto"/>
                            <w:right w:val="none" w:sz="0" w:space="0" w:color="auto"/>
                          </w:divBdr>
                        </w:div>
                        <w:div w:id="2062433386">
                          <w:marLeft w:val="0"/>
                          <w:marRight w:val="0"/>
                          <w:marTop w:val="0"/>
                          <w:marBottom w:val="0"/>
                          <w:divBdr>
                            <w:top w:val="none" w:sz="0" w:space="0" w:color="auto"/>
                            <w:left w:val="none" w:sz="0" w:space="0" w:color="auto"/>
                            <w:bottom w:val="none" w:sz="0" w:space="0" w:color="auto"/>
                            <w:right w:val="none" w:sz="0" w:space="0" w:color="auto"/>
                          </w:divBdr>
                        </w:div>
                        <w:div w:id="963996457">
                          <w:marLeft w:val="0"/>
                          <w:marRight w:val="0"/>
                          <w:marTop w:val="0"/>
                          <w:marBottom w:val="0"/>
                          <w:divBdr>
                            <w:top w:val="none" w:sz="0" w:space="0" w:color="auto"/>
                            <w:left w:val="none" w:sz="0" w:space="0" w:color="auto"/>
                            <w:bottom w:val="none" w:sz="0" w:space="0" w:color="auto"/>
                            <w:right w:val="none" w:sz="0" w:space="0" w:color="auto"/>
                          </w:divBdr>
                        </w:div>
                        <w:div w:id="1052272976">
                          <w:marLeft w:val="0"/>
                          <w:marRight w:val="0"/>
                          <w:marTop w:val="0"/>
                          <w:marBottom w:val="0"/>
                          <w:divBdr>
                            <w:top w:val="none" w:sz="0" w:space="0" w:color="auto"/>
                            <w:left w:val="none" w:sz="0" w:space="0" w:color="auto"/>
                            <w:bottom w:val="none" w:sz="0" w:space="0" w:color="auto"/>
                            <w:right w:val="none" w:sz="0" w:space="0" w:color="auto"/>
                          </w:divBdr>
                        </w:div>
                        <w:div w:id="1162966562">
                          <w:marLeft w:val="0"/>
                          <w:marRight w:val="0"/>
                          <w:marTop w:val="0"/>
                          <w:marBottom w:val="0"/>
                          <w:divBdr>
                            <w:top w:val="none" w:sz="0" w:space="0" w:color="auto"/>
                            <w:left w:val="none" w:sz="0" w:space="0" w:color="auto"/>
                            <w:bottom w:val="none" w:sz="0" w:space="0" w:color="auto"/>
                            <w:right w:val="none" w:sz="0" w:space="0" w:color="auto"/>
                          </w:divBdr>
                        </w:div>
                        <w:div w:id="715736232">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883906779">
                          <w:marLeft w:val="0"/>
                          <w:marRight w:val="0"/>
                          <w:marTop w:val="0"/>
                          <w:marBottom w:val="0"/>
                          <w:divBdr>
                            <w:top w:val="none" w:sz="0" w:space="0" w:color="auto"/>
                            <w:left w:val="none" w:sz="0" w:space="0" w:color="auto"/>
                            <w:bottom w:val="none" w:sz="0" w:space="0" w:color="auto"/>
                            <w:right w:val="none" w:sz="0" w:space="0" w:color="auto"/>
                          </w:divBdr>
                        </w:div>
                        <w:div w:id="1149326352">
                          <w:marLeft w:val="0"/>
                          <w:marRight w:val="0"/>
                          <w:marTop w:val="0"/>
                          <w:marBottom w:val="0"/>
                          <w:divBdr>
                            <w:top w:val="none" w:sz="0" w:space="0" w:color="auto"/>
                            <w:left w:val="none" w:sz="0" w:space="0" w:color="auto"/>
                            <w:bottom w:val="none" w:sz="0" w:space="0" w:color="auto"/>
                            <w:right w:val="none" w:sz="0" w:space="0" w:color="auto"/>
                          </w:divBdr>
                        </w:div>
                        <w:div w:id="408576678">
                          <w:marLeft w:val="0"/>
                          <w:marRight w:val="0"/>
                          <w:marTop w:val="0"/>
                          <w:marBottom w:val="0"/>
                          <w:divBdr>
                            <w:top w:val="none" w:sz="0" w:space="0" w:color="auto"/>
                            <w:left w:val="none" w:sz="0" w:space="0" w:color="auto"/>
                            <w:bottom w:val="none" w:sz="0" w:space="0" w:color="auto"/>
                            <w:right w:val="none" w:sz="0" w:space="0" w:color="auto"/>
                          </w:divBdr>
                        </w:div>
                        <w:div w:id="533159300">
                          <w:marLeft w:val="0"/>
                          <w:marRight w:val="0"/>
                          <w:marTop w:val="0"/>
                          <w:marBottom w:val="0"/>
                          <w:divBdr>
                            <w:top w:val="none" w:sz="0" w:space="0" w:color="auto"/>
                            <w:left w:val="none" w:sz="0" w:space="0" w:color="auto"/>
                            <w:bottom w:val="none" w:sz="0" w:space="0" w:color="auto"/>
                            <w:right w:val="none" w:sz="0" w:space="0" w:color="auto"/>
                          </w:divBdr>
                        </w:div>
                        <w:div w:id="657811695">
                          <w:marLeft w:val="0"/>
                          <w:marRight w:val="0"/>
                          <w:marTop w:val="0"/>
                          <w:marBottom w:val="0"/>
                          <w:divBdr>
                            <w:top w:val="none" w:sz="0" w:space="0" w:color="auto"/>
                            <w:left w:val="none" w:sz="0" w:space="0" w:color="auto"/>
                            <w:bottom w:val="none" w:sz="0" w:space="0" w:color="auto"/>
                            <w:right w:val="none" w:sz="0" w:space="0" w:color="auto"/>
                          </w:divBdr>
                        </w:div>
                        <w:div w:id="807431955">
                          <w:marLeft w:val="0"/>
                          <w:marRight w:val="0"/>
                          <w:marTop w:val="0"/>
                          <w:marBottom w:val="0"/>
                          <w:divBdr>
                            <w:top w:val="none" w:sz="0" w:space="0" w:color="auto"/>
                            <w:left w:val="none" w:sz="0" w:space="0" w:color="auto"/>
                            <w:bottom w:val="none" w:sz="0" w:space="0" w:color="auto"/>
                            <w:right w:val="none" w:sz="0" w:space="0" w:color="auto"/>
                          </w:divBdr>
                        </w:div>
                        <w:div w:id="1332369528">
                          <w:marLeft w:val="0"/>
                          <w:marRight w:val="0"/>
                          <w:marTop w:val="0"/>
                          <w:marBottom w:val="0"/>
                          <w:divBdr>
                            <w:top w:val="none" w:sz="0" w:space="0" w:color="auto"/>
                            <w:left w:val="none" w:sz="0" w:space="0" w:color="auto"/>
                            <w:bottom w:val="none" w:sz="0" w:space="0" w:color="auto"/>
                            <w:right w:val="none" w:sz="0" w:space="0" w:color="auto"/>
                          </w:divBdr>
                        </w:div>
                        <w:div w:id="124544590">
                          <w:marLeft w:val="0"/>
                          <w:marRight w:val="0"/>
                          <w:marTop w:val="0"/>
                          <w:marBottom w:val="0"/>
                          <w:divBdr>
                            <w:top w:val="none" w:sz="0" w:space="0" w:color="auto"/>
                            <w:left w:val="none" w:sz="0" w:space="0" w:color="auto"/>
                            <w:bottom w:val="none" w:sz="0" w:space="0" w:color="auto"/>
                            <w:right w:val="none" w:sz="0" w:space="0" w:color="auto"/>
                          </w:divBdr>
                        </w:div>
                        <w:div w:id="1395010739">
                          <w:marLeft w:val="0"/>
                          <w:marRight w:val="0"/>
                          <w:marTop w:val="0"/>
                          <w:marBottom w:val="0"/>
                          <w:divBdr>
                            <w:top w:val="none" w:sz="0" w:space="0" w:color="auto"/>
                            <w:left w:val="none" w:sz="0" w:space="0" w:color="auto"/>
                            <w:bottom w:val="none" w:sz="0" w:space="0" w:color="auto"/>
                            <w:right w:val="none" w:sz="0" w:space="0" w:color="auto"/>
                          </w:divBdr>
                        </w:div>
                        <w:div w:id="1679850435">
                          <w:marLeft w:val="0"/>
                          <w:marRight w:val="0"/>
                          <w:marTop w:val="0"/>
                          <w:marBottom w:val="0"/>
                          <w:divBdr>
                            <w:top w:val="none" w:sz="0" w:space="0" w:color="auto"/>
                            <w:left w:val="none" w:sz="0" w:space="0" w:color="auto"/>
                            <w:bottom w:val="none" w:sz="0" w:space="0" w:color="auto"/>
                            <w:right w:val="none" w:sz="0" w:space="0" w:color="auto"/>
                          </w:divBdr>
                        </w:div>
                        <w:div w:id="194200945">
                          <w:marLeft w:val="0"/>
                          <w:marRight w:val="0"/>
                          <w:marTop w:val="0"/>
                          <w:marBottom w:val="0"/>
                          <w:divBdr>
                            <w:top w:val="none" w:sz="0" w:space="0" w:color="auto"/>
                            <w:left w:val="none" w:sz="0" w:space="0" w:color="auto"/>
                            <w:bottom w:val="none" w:sz="0" w:space="0" w:color="auto"/>
                            <w:right w:val="none" w:sz="0" w:space="0" w:color="auto"/>
                          </w:divBdr>
                        </w:div>
                        <w:div w:id="442505275">
                          <w:marLeft w:val="0"/>
                          <w:marRight w:val="0"/>
                          <w:marTop w:val="0"/>
                          <w:marBottom w:val="0"/>
                          <w:divBdr>
                            <w:top w:val="none" w:sz="0" w:space="0" w:color="auto"/>
                            <w:left w:val="none" w:sz="0" w:space="0" w:color="auto"/>
                            <w:bottom w:val="none" w:sz="0" w:space="0" w:color="auto"/>
                            <w:right w:val="none" w:sz="0" w:space="0" w:color="auto"/>
                          </w:divBdr>
                        </w:div>
                        <w:div w:id="365060294">
                          <w:marLeft w:val="0"/>
                          <w:marRight w:val="0"/>
                          <w:marTop w:val="0"/>
                          <w:marBottom w:val="0"/>
                          <w:divBdr>
                            <w:top w:val="none" w:sz="0" w:space="0" w:color="auto"/>
                            <w:left w:val="none" w:sz="0" w:space="0" w:color="auto"/>
                            <w:bottom w:val="none" w:sz="0" w:space="0" w:color="auto"/>
                            <w:right w:val="none" w:sz="0" w:space="0" w:color="auto"/>
                          </w:divBdr>
                        </w:div>
                        <w:div w:id="845822401">
                          <w:marLeft w:val="0"/>
                          <w:marRight w:val="0"/>
                          <w:marTop w:val="0"/>
                          <w:marBottom w:val="0"/>
                          <w:divBdr>
                            <w:top w:val="none" w:sz="0" w:space="0" w:color="auto"/>
                            <w:left w:val="none" w:sz="0" w:space="0" w:color="auto"/>
                            <w:bottom w:val="none" w:sz="0" w:space="0" w:color="auto"/>
                            <w:right w:val="none" w:sz="0" w:space="0" w:color="auto"/>
                          </w:divBdr>
                        </w:div>
                        <w:div w:id="964895578">
                          <w:marLeft w:val="0"/>
                          <w:marRight w:val="0"/>
                          <w:marTop w:val="0"/>
                          <w:marBottom w:val="0"/>
                          <w:divBdr>
                            <w:top w:val="none" w:sz="0" w:space="0" w:color="auto"/>
                            <w:left w:val="none" w:sz="0" w:space="0" w:color="auto"/>
                            <w:bottom w:val="none" w:sz="0" w:space="0" w:color="auto"/>
                            <w:right w:val="none" w:sz="0" w:space="0" w:color="auto"/>
                          </w:divBdr>
                        </w:div>
                        <w:div w:id="1451168013">
                          <w:marLeft w:val="0"/>
                          <w:marRight w:val="0"/>
                          <w:marTop w:val="0"/>
                          <w:marBottom w:val="0"/>
                          <w:divBdr>
                            <w:top w:val="none" w:sz="0" w:space="0" w:color="auto"/>
                            <w:left w:val="none" w:sz="0" w:space="0" w:color="auto"/>
                            <w:bottom w:val="none" w:sz="0" w:space="0" w:color="auto"/>
                            <w:right w:val="none" w:sz="0" w:space="0" w:color="auto"/>
                          </w:divBdr>
                        </w:div>
                        <w:div w:id="799230709">
                          <w:marLeft w:val="0"/>
                          <w:marRight w:val="0"/>
                          <w:marTop w:val="0"/>
                          <w:marBottom w:val="0"/>
                          <w:divBdr>
                            <w:top w:val="none" w:sz="0" w:space="0" w:color="auto"/>
                            <w:left w:val="none" w:sz="0" w:space="0" w:color="auto"/>
                            <w:bottom w:val="none" w:sz="0" w:space="0" w:color="auto"/>
                            <w:right w:val="none" w:sz="0" w:space="0" w:color="auto"/>
                          </w:divBdr>
                        </w:div>
                        <w:div w:id="651181105">
                          <w:marLeft w:val="0"/>
                          <w:marRight w:val="0"/>
                          <w:marTop w:val="0"/>
                          <w:marBottom w:val="0"/>
                          <w:divBdr>
                            <w:top w:val="none" w:sz="0" w:space="0" w:color="auto"/>
                            <w:left w:val="none" w:sz="0" w:space="0" w:color="auto"/>
                            <w:bottom w:val="none" w:sz="0" w:space="0" w:color="auto"/>
                            <w:right w:val="none" w:sz="0" w:space="0" w:color="auto"/>
                          </w:divBdr>
                        </w:div>
                        <w:div w:id="1106773537">
                          <w:marLeft w:val="0"/>
                          <w:marRight w:val="0"/>
                          <w:marTop w:val="0"/>
                          <w:marBottom w:val="0"/>
                          <w:divBdr>
                            <w:top w:val="none" w:sz="0" w:space="0" w:color="auto"/>
                            <w:left w:val="none" w:sz="0" w:space="0" w:color="auto"/>
                            <w:bottom w:val="none" w:sz="0" w:space="0" w:color="auto"/>
                            <w:right w:val="none" w:sz="0" w:space="0" w:color="auto"/>
                          </w:divBdr>
                        </w:div>
                        <w:div w:id="684595082">
                          <w:marLeft w:val="0"/>
                          <w:marRight w:val="0"/>
                          <w:marTop w:val="0"/>
                          <w:marBottom w:val="0"/>
                          <w:divBdr>
                            <w:top w:val="none" w:sz="0" w:space="0" w:color="auto"/>
                            <w:left w:val="none" w:sz="0" w:space="0" w:color="auto"/>
                            <w:bottom w:val="none" w:sz="0" w:space="0" w:color="auto"/>
                            <w:right w:val="none" w:sz="0" w:space="0" w:color="auto"/>
                          </w:divBdr>
                        </w:div>
                        <w:div w:id="98570733">
                          <w:marLeft w:val="0"/>
                          <w:marRight w:val="0"/>
                          <w:marTop w:val="0"/>
                          <w:marBottom w:val="0"/>
                          <w:divBdr>
                            <w:top w:val="none" w:sz="0" w:space="0" w:color="auto"/>
                            <w:left w:val="none" w:sz="0" w:space="0" w:color="auto"/>
                            <w:bottom w:val="none" w:sz="0" w:space="0" w:color="auto"/>
                            <w:right w:val="none" w:sz="0" w:space="0" w:color="auto"/>
                          </w:divBdr>
                        </w:div>
                        <w:div w:id="1318221746">
                          <w:marLeft w:val="0"/>
                          <w:marRight w:val="0"/>
                          <w:marTop w:val="0"/>
                          <w:marBottom w:val="0"/>
                          <w:divBdr>
                            <w:top w:val="none" w:sz="0" w:space="0" w:color="auto"/>
                            <w:left w:val="none" w:sz="0" w:space="0" w:color="auto"/>
                            <w:bottom w:val="none" w:sz="0" w:space="0" w:color="auto"/>
                            <w:right w:val="none" w:sz="0" w:space="0" w:color="auto"/>
                          </w:divBdr>
                        </w:div>
                        <w:div w:id="643243257">
                          <w:marLeft w:val="0"/>
                          <w:marRight w:val="0"/>
                          <w:marTop w:val="0"/>
                          <w:marBottom w:val="0"/>
                          <w:divBdr>
                            <w:top w:val="none" w:sz="0" w:space="0" w:color="auto"/>
                            <w:left w:val="none" w:sz="0" w:space="0" w:color="auto"/>
                            <w:bottom w:val="none" w:sz="0" w:space="0" w:color="auto"/>
                            <w:right w:val="none" w:sz="0" w:space="0" w:color="auto"/>
                          </w:divBdr>
                        </w:div>
                        <w:div w:id="76949140">
                          <w:marLeft w:val="0"/>
                          <w:marRight w:val="0"/>
                          <w:marTop w:val="0"/>
                          <w:marBottom w:val="0"/>
                          <w:divBdr>
                            <w:top w:val="none" w:sz="0" w:space="0" w:color="auto"/>
                            <w:left w:val="none" w:sz="0" w:space="0" w:color="auto"/>
                            <w:bottom w:val="none" w:sz="0" w:space="0" w:color="auto"/>
                            <w:right w:val="none" w:sz="0" w:space="0" w:color="auto"/>
                          </w:divBdr>
                        </w:div>
                        <w:div w:id="159393550">
                          <w:marLeft w:val="0"/>
                          <w:marRight w:val="0"/>
                          <w:marTop w:val="0"/>
                          <w:marBottom w:val="0"/>
                          <w:divBdr>
                            <w:top w:val="none" w:sz="0" w:space="0" w:color="auto"/>
                            <w:left w:val="none" w:sz="0" w:space="0" w:color="auto"/>
                            <w:bottom w:val="none" w:sz="0" w:space="0" w:color="auto"/>
                            <w:right w:val="none" w:sz="0" w:space="0" w:color="auto"/>
                          </w:divBdr>
                        </w:div>
                        <w:div w:id="1469591170">
                          <w:marLeft w:val="0"/>
                          <w:marRight w:val="0"/>
                          <w:marTop w:val="0"/>
                          <w:marBottom w:val="0"/>
                          <w:divBdr>
                            <w:top w:val="none" w:sz="0" w:space="0" w:color="auto"/>
                            <w:left w:val="none" w:sz="0" w:space="0" w:color="auto"/>
                            <w:bottom w:val="none" w:sz="0" w:space="0" w:color="auto"/>
                            <w:right w:val="none" w:sz="0" w:space="0" w:color="auto"/>
                          </w:divBdr>
                        </w:div>
                        <w:div w:id="906184383">
                          <w:marLeft w:val="0"/>
                          <w:marRight w:val="0"/>
                          <w:marTop w:val="0"/>
                          <w:marBottom w:val="0"/>
                          <w:divBdr>
                            <w:top w:val="none" w:sz="0" w:space="0" w:color="auto"/>
                            <w:left w:val="none" w:sz="0" w:space="0" w:color="auto"/>
                            <w:bottom w:val="none" w:sz="0" w:space="0" w:color="auto"/>
                            <w:right w:val="none" w:sz="0" w:space="0" w:color="auto"/>
                          </w:divBdr>
                        </w:div>
                        <w:div w:id="977107402">
                          <w:marLeft w:val="0"/>
                          <w:marRight w:val="0"/>
                          <w:marTop w:val="0"/>
                          <w:marBottom w:val="0"/>
                          <w:divBdr>
                            <w:top w:val="none" w:sz="0" w:space="0" w:color="auto"/>
                            <w:left w:val="none" w:sz="0" w:space="0" w:color="auto"/>
                            <w:bottom w:val="none" w:sz="0" w:space="0" w:color="auto"/>
                            <w:right w:val="none" w:sz="0" w:space="0" w:color="auto"/>
                          </w:divBdr>
                        </w:div>
                        <w:div w:id="1466436234">
                          <w:marLeft w:val="0"/>
                          <w:marRight w:val="0"/>
                          <w:marTop w:val="0"/>
                          <w:marBottom w:val="0"/>
                          <w:divBdr>
                            <w:top w:val="none" w:sz="0" w:space="0" w:color="auto"/>
                            <w:left w:val="none" w:sz="0" w:space="0" w:color="auto"/>
                            <w:bottom w:val="none" w:sz="0" w:space="0" w:color="auto"/>
                            <w:right w:val="none" w:sz="0" w:space="0" w:color="auto"/>
                          </w:divBdr>
                        </w:div>
                        <w:div w:id="1501508083">
                          <w:marLeft w:val="0"/>
                          <w:marRight w:val="0"/>
                          <w:marTop w:val="0"/>
                          <w:marBottom w:val="0"/>
                          <w:divBdr>
                            <w:top w:val="none" w:sz="0" w:space="0" w:color="auto"/>
                            <w:left w:val="none" w:sz="0" w:space="0" w:color="auto"/>
                            <w:bottom w:val="none" w:sz="0" w:space="0" w:color="auto"/>
                            <w:right w:val="none" w:sz="0" w:space="0" w:color="auto"/>
                          </w:divBdr>
                        </w:div>
                        <w:div w:id="1024667941">
                          <w:marLeft w:val="0"/>
                          <w:marRight w:val="0"/>
                          <w:marTop w:val="0"/>
                          <w:marBottom w:val="0"/>
                          <w:divBdr>
                            <w:top w:val="none" w:sz="0" w:space="0" w:color="auto"/>
                            <w:left w:val="none" w:sz="0" w:space="0" w:color="auto"/>
                            <w:bottom w:val="none" w:sz="0" w:space="0" w:color="auto"/>
                            <w:right w:val="none" w:sz="0" w:space="0" w:color="auto"/>
                          </w:divBdr>
                        </w:div>
                        <w:div w:id="1757362472">
                          <w:marLeft w:val="0"/>
                          <w:marRight w:val="0"/>
                          <w:marTop w:val="0"/>
                          <w:marBottom w:val="0"/>
                          <w:divBdr>
                            <w:top w:val="none" w:sz="0" w:space="0" w:color="auto"/>
                            <w:left w:val="none" w:sz="0" w:space="0" w:color="auto"/>
                            <w:bottom w:val="none" w:sz="0" w:space="0" w:color="auto"/>
                            <w:right w:val="none" w:sz="0" w:space="0" w:color="auto"/>
                          </w:divBdr>
                        </w:div>
                        <w:div w:id="1311397076">
                          <w:marLeft w:val="0"/>
                          <w:marRight w:val="0"/>
                          <w:marTop w:val="0"/>
                          <w:marBottom w:val="0"/>
                          <w:divBdr>
                            <w:top w:val="none" w:sz="0" w:space="0" w:color="auto"/>
                            <w:left w:val="none" w:sz="0" w:space="0" w:color="auto"/>
                            <w:bottom w:val="none" w:sz="0" w:space="0" w:color="auto"/>
                            <w:right w:val="none" w:sz="0" w:space="0" w:color="auto"/>
                          </w:divBdr>
                        </w:div>
                        <w:div w:id="2043163006">
                          <w:marLeft w:val="0"/>
                          <w:marRight w:val="0"/>
                          <w:marTop w:val="0"/>
                          <w:marBottom w:val="0"/>
                          <w:divBdr>
                            <w:top w:val="none" w:sz="0" w:space="0" w:color="auto"/>
                            <w:left w:val="none" w:sz="0" w:space="0" w:color="auto"/>
                            <w:bottom w:val="none" w:sz="0" w:space="0" w:color="auto"/>
                            <w:right w:val="none" w:sz="0" w:space="0" w:color="auto"/>
                          </w:divBdr>
                        </w:div>
                        <w:div w:id="1299611549">
                          <w:marLeft w:val="0"/>
                          <w:marRight w:val="0"/>
                          <w:marTop w:val="0"/>
                          <w:marBottom w:val="0"/>
                          <w:divBdr>
                            <w:top w:val="none" w:sz="0" w:space="0" w:color="auto"/>
                            <w:left w:val="none" w:sz="0" w:space="0" w:color="auto"/>
                            <w:bottom w:val="none" w:sz="0" w:space="0" w:color="auto"/>
                            <w:right w:val="none" w:sz="0" w:space="0" w:color="auto"/>
                          </w:divBdr>
                        </w:div>
                        <w:div w:id="1629121534">
                          <w:marLeft w:val="0"/>
                          <w:marRight w:val="0"/>
                          <w:marTop w:val="0"/>
                          <w:marBottom w:val="0"/>
                          <w:divBdr>
                            <w:top w:val="none" w:sz="0" w:space="0" w:color="auto"/>
                            <w:left w:val="none" w:sz="0" w:space="0" w:color="auto"/>
                            <w:bottom w:val="none" w:sz="0" w:space="0" w:color="auto"/>
                            <w:right w:val="none" w:sz="0" w:space="0" w:color="auto"/>
                          </w:divBdr>
                        </w:div>
                        <w:div w:id="290867463">
                          <w:marLeft w:val="0"/>
                          <w:marRight w:val="0"/>
                          <w:marTop w:val="0"/>
                          <w:marBottom w:val="0"/>
                          <w:divBdr>
                            <w:top w:val="none" w:sz="0" w:space="0" w:color="auto"/>
                            <w:left w:val="none" w:sz="0" w:space="0" w:color="auto"/>
                            <w:bottom w:val="none" w:sz="0" w:space="0" w:color="auto"/>
                            <w:right w:val="none" w:sz="0" w:space="0" w:color="auto"/>
                          </w:divBdr>
                        </w:div>
                        <w:div w:id="580287115">
                          <w:marLeft w:val="0"/>
                          <w:marRight w:val="0"/>
                          <w:marTop w:val="0"/>
                          <w:marBottom w:val="0"/>
                          <w:divBdr>
                            <w:top w:val="none" w:sz="0" w:space="0" w:color="auto"/>
                            <w:left w:val="none" w:sz="0" w:space="0" w:color="auto"/>
                            <w:bottom w:val="none" w:sz="0" w:space="0" w:color="auto"/>
                            <w:right w:val="none" w:sz="0" w:space="0" w:color="auto"/>
                          </w:divBdr>
                        </w:div>
                        <w:div w:id="1256014659">
                          <w:marLeft w:val="0"/>
                          <w:marRight w:val="0"/>
                          <w:marTop w:val="0"/>
                          <w:marBottom w:val="0"/>
                          <w:divBdr>
                            <w:top w:val="none" w:sz="0" w:space="0" w:color="auto"/>
                            <w:left w:val="none" w:sz="0" w:space="0" w:color="auto"/>
                            <w:bottom w:val="none" w:sz="0" w:space="0" w:color="auto"/>
                            <w:right w:val="none" w:sz="0" w:space="0" w:color="auto"/>
                          </w:divBdr>
                        </w:div>
                        <w:div w:id="63458444">
                          <w:marLeft w:val="0"/>
                          <w:marRight w:val="0"/>
                          <w:marTop w:val="0"/>
                          <w:marBottom w:val="0"/>
                          <w:divBdr>
                            <w:top w:val="none" w:sz="0" w:space="0" w:color="auto"/>
                            <w:left w:val="none" w:sz="0" w:space="0" w:color="auto"/>
                            <w:bottom w:val="none" w:sz="0" w:space="0" w:color="auto"/>
                            <w:right w:val="none" w:sz="0" w:space="0" w:color="auto"/>
                          </w:divBdr>
                        </w:div>
                        <w:div w:id="922449498">
                          <w:marLeft w:val="0"/>
                          <w:marRight w:val="0"/>
                          <w:marTop w:val="0"/>
                          <w:marBottom w:val="0"/>
                          <w:divBdr>
                            <w:top w:val="none" w:sz="0" w:space="0" w:color="auto"/>
                            <w:left w:val="none" w:sz="0" w:space="0" w:color="auto"/>
                            <w:bottom w:val="none" w:sz="0" w:space="0" w:color="auto"/>
                            <w:right w:val="none" w:sz="0" w:space="0" w:color="auto"/>
                          </w:divBdr>
                        </w:div>
                        <w:div w:id="2104721013">
                          <w:marLeft w:val="0"/>
                          <w:marRight w:val="0"/>
                          <w:marTop w:val="0"/>
                          <w:marBottom w:val="0"/>
                          <w:divBdr>
                            <w:top w:val="none" w:sz="0" w:space="0" w:color="auto"/>
                            <w:left w:val="none" w:sz="0" w:space="0" w:color="auto"/>
                            <w:bottom w:val="none" w:sz="0" w:space="0" w:color="auto"/>
                            <w:right w:val="none" w:sz="0" w:space="0" w:color="auto"/>
                          </w:divBdr>
                        </w:div>
                        <w:div w:id="1936861380">
                          <w:marLeft w:val="0"/>
                          <w:marRight w:val="0"/>
                          <w:marTop w:val="0"/>
                          <w:marBottom w:val="0"/>
                          <w:divBdr>
                            <w:top w:val="none" w:sz="0" w:space="0" w:color="auto"/>
                            <w:left w:val="none" w:sz="0" w:space="0" w:color="auto"/>
                            <w:bottom w:val="none" w:sz="0" w:space="0" w:color="auto"/>
                            <w:right w:val="none" w:sz="0" w:space="0" w:color="auto"/>
                          </w:divBdr>
                        </w:div>
                        <w:div w:id="1976060397">
                          <w:marLeft w:val="0"/>
                          <w:marRight w:val="0"/>
                          <w:marTop w:val="0"/>
                          <w:marBottom w:val="0"/>
                          <w:divBdr>
                            <w:top w:val="none" w:sz="0" w:space="0" w:color="auto"/>
                            <w:left w:val="none" w:sz="0" w:space="0" w:color="auto"/>
                            <w:bottom w:val="none" w:sz="0" w:space="0" w:color="auto"/>
                            <w:right w:val="none" w:sz="0" w:space="0" w:color="auto"/>
                          </w:divBdr>
                        </w:div>
                        <w:div w:id="491607985">
                          <w:marLeft w:val="0"/>
                          <w:marRight w:val="0"/>
                          <w:marTop w:val="0"/>
                          <w:marBottom w:val="0"/>
                          <w:divBdr>
                            <w:top w:val="none" w:sz="0" w:space="0" w:color="auto"/>
                            <w:left w:val="none" w:sz="0" w:space="0" w:color="auto"/>
                            <w:bottom w:val="none" w:sz="0" w:space="0" w:color="auto"/>
                            <w:right w:val="none" w:sz="0" w:space="0" w:color="auto"/>
                          </w:divBdr>
                        </w:div>
                        <w:div w:id="1275020329">
                          <w:marLeft w:val="0"/>
                          <w:marRight w:val="0"/>
                          <w:marTop w:val="0"/>
                          <w:marBottom w:val="0"/>
                          <w:divBdr>
                            <w:top w:val="none" w:sz="0" w:space="0" w:color="auto"/>
                            <w:left w:val="none" w:sz="0" w:space="0" w:color="auto"/>
                            <w:bottom w:val="none" w:sz="0" w:space="0" w:color="auto"/>
                            <w:right w:val="none" w:sz="0" w:space="0" w:color="auto"/>
                          </w:divBdr>
                        </w:div>
                        <w:div w:id="78184695">
                          <w:marLeft w:val="0"/>
                          <w:marRight w:val="0"/>
                          <w:marTop w:val="0"/>
                          <w:marBottom w:val="0"/>
                          <w:divBdr>
                            <w:top w:val="none" w:sz="0" w:space="0" w:color="auto"/>
                            <w:left w:val="none" w:sz="0" w:space="0" w:color="auto"/>
                            <w:bottom w:val="none" w:sz="0" w:space="0" w:color="auto"/>
                            <w:right w:val="none" w:sz="0" w:space="0" w:color="auto"/>
                          </w:divBdr>
                        </w:div>
                        <w:div w:id="5333317">
                          <w:marLeft w:val="0"/>
                          <w:marRight w:val="0"/>
                          <w:marTop w:val="0"/>
                          <w:marBottom w:val="0"/>
                          <w:divBdr>
                            <w:top w:val="none" w:sz="0" w:space="0" w:color="auto"/>
                            <w:left w:val="none" w:sz="0" w:space="0" w:color="auto"/>
                            <w:bottom w:val="none" w:sz="0" w:space="0" w:color="auto"/>
                            <w:right w:val="none" w:sz="0" w:space="0" w:color="auto"/>
                          </w:divBdr>
                        </w:div>
                        <w:div w:id="1006051716">
                          <w:marLeft w:val="0"/>
                          <w:marRight w:val="0"/>
                          <w:marTop w:val="0"/>
                          <w:marBottom w:val="0"/>
                          <w:divBdr>
                            <w:top w:val="none" w:sz="0" w:space="0" w:color="auto"/>
                            <w:left w:val="none" w:sz="0" w:space="0" w:color="auto"/>
                            <w:bottom w:val="none" w:sz="0" w:space="0" w:color="auto"/>
                            <w:right w:val="none" w:sz="0" w:space="0" w:color="auto"/>
                          </w:divBdr>
                        </w:div>
                        <w:div w:id="1713770227">
                          <w:marLeft w:val="0"/>
                          <w:marRight w:val="0"/>
                          <w:marTop w:val="0"/>
                          <w:marBottom w:val="0"/>
                          <w:divBdr>
                            <w:top w:val="none" w:sz="0" w:space="0" w:color="auto"/>
                            <w:left w:val="none" w:sz="0" w:space="0" w:color="auto"/>
                            <w:bottom w:val="none" w:sz="0" w:space="0" w:color="auto"/>
                            <w:right w:val="none" w:sz="0" w:space="0" w:color="auto"/>
                          </w:divBdr>
                        </w:div>
                        <w:div w:id="235481713">
                          <w:marLeft w:val="0"/>
                          <w:marRight w:val="0"/>
                          <w:marTop w:val="0"/>
                          <w:marBottom w:val="0"/>
                          <w:divBdr>
                            <w:top w:val="none" w:sz="0" w:space="0" w:color="auto"/>
                            <w:left w:val="none" w:sz="0" w:space="0" w:color="auto"/>
                            <w:bottom w:val="none" w:sz="0" w:space="0" w:color="auto"/>
                            <w:right w:val="none" w:sz="0" w:space="0" w:color="auto"/>
                          </w:divBdr>
                        </w:div>
                        <w:div w:id="1183282227">
                          <w:marLeft w:val="0"/>
                          <w:marRight w:val="0"/>
                          <w:marTop w:val="0"/>
                          <w:marBottom w:val="0"/>
                          <w:divBdr>
                            <w:top w:val="none" w:sz="0" w:space="0" w:color="auto"/>
                            <w:left w:val="none" w:sz="0" w:space="0" w:color="auto"/>
                            <w:bottom w:val="none" w:sz="0" w:space="0" w:color="auto"/>
                            <w:right w:val="none" w:sz="0" w:space="0" w:color="auto"/>
                          </w:divBdr>
                        </w:div>
                        <w:div w:id="1875772354">
                          <w:marLeft w:val="0"/>
                          <w:marRight w:val="0"/>
                          <w:marTop w:val="0"/>
                          <w:marBottom w:val="0"/>
                          <w:divBdr>
                            <w:top w:val="none" w:sz="0" w:space="0" w:color="auto"/>
                            <w:left w:val="none" w:sz="0" w:space="0" w:color="auto"/>
                            <w:bottom w:val="none" w:sz="0" w:space="0" w:color="auto"/>
                            <w:right w:val="none" w:sz="0" w:space="0" w:color="auto"/>
                          </w:divBdr>
                        </w:div>
                        <w:div w:id="766390496">
                          <w:marLeft w:val="0"/>
                          <w:marRight w:val="0"/>
                          <w:marTop w:val="0"/>
                          <w:marBottom w:val="0"/>
                          <w:divBdr>
                            <w:top w:val="none" w:sz="0" w:space="0" w:color="auto"/>
                            <w:left w:val="none" w:sz="0" w:space="0" w:color="auto"/>
                            <w:bottom w:val="none" w:sz="0" w:space="0" w:color="auto"/>
                            <w:right w:val="none" w:sz="0" w:space="0" w:color="auto"/>
                          </w:divBdr>
                        </w:div>
                        <w:div w:id="533007424">
                          <w:marLeft w:val="0"/>
                          <w:marRight w:val="0"/>
                          <w:marTop w:val="0"/>
                          <w:marBottom w:val="0"/>
                          <w:divBdr>
                            <w:top w:val="none" w:sz="0" w:space="0" w:color="auto"/>
                            <w:left w:val="none" w:sz="0" w:space="0" w:color="auto"/>
                            <w:bottom w:val="none" w:sz="0" w:space="0" w:color="auto"/>
                            <w:right w:val="none" w:sz="0" w:space="0" w:color="auto"/>
                          </w:divBdr>
                        </w:div>
                        <w:div w:id="293147129">
                          <w:marLeft w:val="0"/>
                          <w:marRight w:val="0"/>
                          <w:marTop w:val="0"/>
                          <w:marBottom w:val="0"/>
                          <w:divBdr>
                            <w:top w:val="none" w:sz="0" w:space="0" w:color="auto"/>
                            <w:left w:val="none" w:sz="0" w:space="0" w:color="auto"/>
                            <w:bottom w:val="none" w:sz="0" w:space="0" w:color="auto"/>
                            <w:right w:val="none" w:sz="0" w:space="0" w:color="auto"/>
                          </w:divBdr>
                        </w:div>
                        <w:div w:id="286739013">
                          <w:marLeft w:val="0"/>
                          <w:marRight w:val="0"/>
                          <w:marTop w:val="0"/>
                          <w:marBottom w:val="0"/>
                          <w:divBdr>
                            <w:top w:val="none" w:sz="0" w:space="0" w:color="auto"/>
                            <w:left w:val="none" w:sz="0" w:space="0" w:color="auto"/>
                            <w:bottom w:val="none" w:sz="0" w:space="0" w:color="auto"/>
                            <w:right w:val="none" w:sz="0" w:space="0" w:color="auto"/>
                          </w:divBdr>
                        </w:div>
                        <w:div w:id="1291672600">
                          <w:marLeft w:val="0"/>
                          <w:marRight w:val="0"/>
                          <w:marTop w:val="0"/>
                          <w:marBottom w:val="0"/>
                          <w:divBdr>
                            <w:top w:val="none" w:sz="0" w:space="0" w:color="auto"/>
                            <w:left w:val="none" w:sz="0" w:space="0" w:color="auto"/>
                            <w:bottom w:val="none" w:sz="0" w:space="0" w:color="auto"/>
                            <w:right w:val="none" w:sz="0" w:space="0" w:color="auto"/>
                          </w:divBdr>
                        </w:div>
                        <w:div w:id="464734396">
                          <w:marLeft w:val="0"/>
                          <w:marRight w:val="0"/>
                          <w:marTop w:val="0"/>
                          <w:marBottom w:val="0"/>
                          <w:divBdr>
                            <w:top w:val="none" w:sz="0" w:space="0" w:color="auto"/>
                            <w:left w:val="none" w:sz="0" w:space="0" w:color="auto"/>
                            <w:bottom w:val="none" w:sz="0" w:space="0" w:color="auto"/>
                            <w:right w:val="none" w:sz="0" w:space="0" w:color="auto"/>
                          </w:divBdr>
                        </w:div>
                        <w:div w:id="2077580785">
                          <w:marLeft w:val="0"/>
                          <w:marRight w:val="0"/>
                          <w:marTop w:val="0"/>
                          <w:marBottom w:val="0"/>
                          <w:divBdr>
                            <w:top w:val="none" w:sz="0" w:space="0" w:color="auto"/>
                            <w:left w:val="none" w:sz="0" w:space="0" w:color="auto"/>
                            <w:bottom w:val="none" w:sz="0" w:space="0" w:color="auto"/>
                            <w:right w:val="none" w:sz="0" w:space="0" w:color="auto"/>
                          </w:divBdr>
                        </w:div>
                        <w:div w:id="32774401">
                          <w:marLeft w:val="0"/>
                          <w:marRight w:val="0"/>
                          <w:marTop w:val="0"/>
                          <w:marBottom w:val="0"/>
                          <w:divBdr>
                            <w:top w:val="none" w:sz="0" w:space="0" w:color="auto"/>
                            <w:left w:val="none" w:sz="0" w:space="0" w:color="auto"/>
                            <w:bottom w:val="none" w:sz="0" w:space="0" w:color="auto"/>
                            <w:right w:val="none" w:sz="0" w:space="0" w:color="auto"/>
                          </w:divBdr>
                        </w:div>
                        <w:div w:id="1153333513">
                          <w:marLeft w:val="0"/>
                          <w:marRight w:val="0"/>
                          <w:marTop w:val="0"/>
                          <w:marBottom w:val="0"/>
                          <w:divBdr>
                            <w:top w:val="none" w:sz="0" w:space="0" w:color="auto"/>
                            <w:left w:val="none" w:sz="0" w:space="0" w:color="auto"/>
                            <w:bottom w:val="none" w:sz="0" w:space="0" w:color="auto"/>
                            <w:right w:val="none" w:sz="0" w:space="0" w:color="auto"/>
                          </w:divBdr>
                        </w:div>
                        <w:div w:id="39524645">
                          <w:marLeft w:val="0"/>
                          <w:marRight w:val="0"/>
                          <w:marTop w:val="0"/>
                          <w:marBottom w:val="0"/>
                          <w:divBdr>
                            <w:top w:val="none" w:sz="0" w:space="0" w:color="auto"/>
                            <w:left w:val="none" w:sz="0" w:space="0" w:color="auto"/>
                            <w:bottom w:val="none" w:sz="0" w:space="0" w:color="auto"/>
                            <w:right w:val="none" w:sz="0" w:space="0" w:color="auto"/>
                          </w:divBdr>
                        </w:div>
                        <w:div w:id="900404336">
                          <w:marLeft w:val="0"/>
                          <w:marRight w:val="0"/>
                          <w:marTop w:val="0"/>
                          <w:marBottom w:val="0"/>
                          <w:divBdr>
                            <w:top w:val="none" w:sz="0" w:space="0" w:color="auto"/>
                            <w:left w:val="none" w:sz="0" w:space="0" w:color="auto"/>
                            <w:bottom w:val="none" w:sz="0" w:space="0" w:color="auto"/>
                            <w:right w:val="none" w:sz="0" w:space="0" w:color="auto"/>
                          </w:divBdr>
                        </w:div>
                        <w:div w:id="148644124">
                          <w:marLeft w:val="0"/>
                          <w:marRight w:val="0"/>
                          <w:marTop w:val="0"/>
                          <w:marBottom w:val="0"/>
                          <w:divBdr>
                            <w:top w:val="none" w:sz="0" w:space="0" w:color="auto"/>
                            <w:left w:val="none" w:sz="0" w:space="0" w:color="auto"/>
                            <w:bottom w:val="none" w:sz="0" w:space="0" w:color="auto"/>
                            <w:right w:val="none" w:sz="0" w:space="0" w:color="auto"/>
                          </w:divBdr>
                        </w:div>
                        <w:div w:id="1174422515">
                          <w:marLeft w:val="0"/>
                          <w:marRight w:val="0"/>
                          <w:marTop w:val="0"/>
                          <w:marBottom w:val="0"/>
                          <w:divBdr>
                            <w:top w:val="none" w:sz="0" w:space="0" w:color="auto"/>
                            <w:left w:val="none" w:sz="0" w:space="0" w:color="auto"/>
                            <w:bottom w:val="none" w:sz="0" w:space="0" w:color="auto"/>
                            <w:right w:val="none" w:sz="0" w:space="0" w:color="auto"/>
                          </w:divBdr>
                        </w:div>
                        <w:div w:id="1879662474">
                          <w:marLeft w:val="0"/>
                          <w:marRight w:val="0"/>
                          <w:marTop w:val="0"/>
                          <w:marBottom w:val="0"/>
                          <w:divBdr>
                            <w:top w:val="none" w:sz="0" w:space="0" w:color="auto"/>
                            <w:left w:val="none" w:sz="0" w:space="0" w:color="auto"/>
                            <w:bottom w:val="none" w:sz="0" w:space="0" w:color="auto"/>
                            <w:right w:val="none" w:sz="0" w:space="0" w:color="auto"/>
                          </w:divBdr>
                        </w:div>
                        <w:div w:id="1150827592">
                          <w:marLeft w:val="0"/>
                          <w:marRight w:val="0"/>
                          <w:marTop w:val="0"/>
                          <w:marBottom w:val="0"/>
                          <w:divBdr>
                            <w:top w:val="none" w:sz="0" w:space="0" w:color="auto"/>
                            <w:left w:val="none" w:sz="0" w:space="0" w:color="auto"/>
                            <w:bottom w:val="none" w:sz="0" w:space="0" w:color="auto"/>
                            <w:right w:val="none" w:sz="0" w:space="0" w:color="auto"/>
                          </w:divBdr>
                        </w:div>
                        <w:div w:id="511259426">
                          <w:marLeft w:val="0"/>
                          <w:marRight w:val="0"/>
                          <w:marTop w:val="0"/>
                          <w:marBottom w:val="0"/>
                          <w:divBdr>
                            <w:top w:val="none" w:sz="0" w:space="0" w:color="auto"/>
                            <w:left w:val="none" w:sz="0" w:space="0" w:color="auto"/>
                            <w:bottom w:val="none" w:sz="0" w:space="0" w:color="auto"/>
                            <w:right w:val="none" w:sz="0" w:space="0" w:color="auto"/>
                          </w:divBdr>
                        </w:div>
                        <w:div w:id="665091339">
                          <w:marLeft w:val="0"/>
                          <w:marRight w:val="0"/>
                          <w:marTop w:val="0"/>
                          <w:marBottom w:val="0"/>
                          <w:divBdr>
                            <w:top w:val="none" w:sz="0" w:space="0" w:color="auto"/>
                            <w:left w:val="none" w:sz="0" w:space="0" w:color="auto"/>
                            <w:bottom w:val="none" w:sz="0" w:space="0" w:color="auto"/>
                            <w:right w:val="none" w:sz="0" w:space="0" w:color="auto"/>
                          </w:divBdr>
                        </w:div>
                        <w:div w:id="1011105747">
                          <w:marLeft w:val="0"/>
                          <w:marRight w:val="0"/>
                          <w:marTop w:val="0"/>
                          <w:marBottom w:val="0"/>
                          <w:divBdr>
                            <w:top w:val="none" w:sz="0" w:space="0" w:color="auto"/>
                            <w:left w:val="none" w:sz="0" w:space="0" w:color="auto"/>
                            <w:bottom w:val="none" w:sz="0" w:space="0" w:color="auto"/>
                            <w:right w:val="none" w:sz="0" w:space="0" w:color="auto"/>
                          </w:divBdr>
                        </w:div>
                        <w:div w:id="493229622">
                          <w:marLeft w:val="0"/>
                          <w:marRight w:val="0"/>
                          <w:marTop w:val="0"/>
                          <w:marBottom w:val="0"/>
                          <w:divBdr>
                            <w:top w:val="none" w:sz="0" w:space="0" w:color="auto"/>
                            <w:left w:val="none" w:sz="0" w:space="0" w:color="auto"/>
                            <w:bottom w:val="none" w:sz="0" w:space="0" w:color="auto"/>
                            <w:right w:val="none" w:sz="0" w:space="0" w:color="auto"/>
                          </w:divBdr>
                        </w:div>
                        <w:div w:id="759446638">
                          <w:marLeft w:val="0"/>
                          <w:marRight w:val="0"/>
                          <w:marTop w:val="0"/>
                          <w:marBottom w:val="0"/>
                          <w:divBdr>
                            <w:top w:val="none" w:sz="0" w:space="0" w:color="auto"/>
                            <w:left w:val="none" w:sz="0" w:space="0" w:color="auto"/>
                            <w:bottom w:val="none" w:sz="0" w:space="0" w:color="auto"/>
                            <w:right w:val="none" w:sz="0" w:space="0" w:color="auto"/>
                          </w:divBdr>
                        </w:div>
                        <w:div w:id="1670449496">
                          <w:marLeft w:val="0"/>
                          <w:marRight w:val="0"/>
                          <w:marTop w:val="0"/>
                          <w:marBottom w:val="0"/>
                          <w:divBdr>
                            <w:top w:val="none" w:sz="0" w:space="0" w:color="auto"/>
                            <w:left w:val="none" w:sz="0" w:space="0" w:color="auto"/>
                            <w:bottom w:val="none" w:sz="0" w:space="0" w:color="auto"/>
                            <w:right w:val="none" w:sz="0" w:space="0" w:color="auto"/>
                          </w:divBdr>
                        </w:div>
                        <w:div w:id="55975043">
                          <w:marLeft w:val="0"/>
                          <w:marRight w:val="0"/>
                          <w:marTop w:val="0"/>
                          <w:marBottom w:val="0"/>
                          <w:divBdr>
                            <w:top w:val="none" w:sz="0" w:space="0" w:color="auto"/>
                            <w:left w:val="none" w:sz="0" w:space="0" w:color="auto"/>
                            <w:bottom w:val="none" w:sz="0" w:space="0" w:color="auto"/>
                            <w:right w:val="none" w:sz="0" w:space="0" w:color="auto"/>
                          </w:divBdr>
                        </w:div>
                        <w:div w:id="1897008679">
                          <w:marLeft w:val="0"/>
                          <w:marRight w:val="0"/>
                          <w:marTop w:val="0"/>
                          <w:marBottom w:val="0"/>
                          <w:divBdr>
                            <w:top w:val="none" w:sz="0" w:space="0" w:color="auto"/>
                            <w:left w:val="none" w:sz="0" w:space="0" w:color="auto"/>
                            <w:bottom w:val="none" w:sz="0" w:space="0" w:color="auto"/>
                            <w:right w:val="none" w:sz="0" w:space="0" w:color="auto"/>
                          </w:divBdr>
                        </w:div>
                        <w:div w:id="135421176">
                          <w:marLeft w:val="0"/>
                          <w:marRight w:val="0"/>
                          <w:marTop w:val="0"/>
                          <w:marBottom w:val="0"/>
                          <w:divBdr>
                            <w:top w:val="none" w:sz="0" w:space="0" w:color="auto"/>
                            <w:left w:val="none" w:sz="0" w:space="0" w:color="auto"/>
                            <w:bottom w:val="none" w:sz="0" w:space="0" w:color="auto"/>
                            <w:right w:val="none" w:sz="0" w:space="0" w:color="auto"/>
                          </w:divBdr>
                        </w:div>
                        <w:div w:id="1007098252">
                          <w:marLeft w:val="0"/>
                          <w:marRight w:val="0"/>
                          <w:marTop w:val="0"/>
                          <w:marBottom w:val="0"/>
                          <w:divBdr>
                            <w:top w:val="none" w:sz="0" w:space="0" w:color="auto"/>
                            <w:left w:val="none" w:sz="0" w:space="0" w:color="auto"/>
                            <w:bottom w:val="none" w:sz="0" w:space="0" w:color="auto"/>
                            <w:right w:val="none" w:sz="0" w:space="0" w:color="auto"/>
                          </w:divBdr>
                        </w:div>
                        <w:div w:id="7407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82339937">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7377558">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3762798">
      <w:bodyDiv w:val="1"/>
      <w:marLeft w:val="0"/>
      <w:marRight w:val="0"/>
      <w:marTop w:val="0"/>
      <w:marBottom w:val="0"/>
      <w:divBdr>
        <w:top w:val="none" w:sz="0" w:space="0" w:color="auto"/>
        <w:left w:val="none" w:sz="0" w:space="0" w:color="auto"/>
        <w:bottom w:val="none" w:sz="0" w:space="0" w:color="auto"/>
        <w:right w:val="none" w:sz="0" w:space="0" w:color="auto"/>
      </w:divBdr>
      <w:divsChild>
        <w:div w:id="449399322">
          <w:marLeft w:val="0"/>
          <w:marRight w:val="0"/>
          <w:marTop w:val="0"/>
          <w:marBottom w:val="0"/>
          <w:divBdr>
            <w:top w:val="none" w:sz="0" w:space="0" w:color="auto"/>
            <w:left w:val="none" w:sz="0" w:space="0" w:color="auto"/>
            <w:bottom w:val="none" w:sz="0" w:space="0" w:color="auto"/>
            <w:right w:val="none" w:sz="0" w:space="0" w:color="auto"/>
          </w:divBdr>
        </w:div>
        <w:div w:id="1406099961">
          <w:marLeft w:val="0"/>
          <w:marRight w:val="0"/>
          <w:marTop w:val="0"/>
          <w:marBottom w:val="0"/>
          <w:divBdr>
            <w:top w:val="none" w:sz="0" w:space="0" w:color="auto"/>
            <w:left w:val="none" w:sz="0" w:space="0" w:color="auto"/>
            <w:bottom w:val="none" w:sz="0" w:space="0" w:color="auto"/>
            <w:right w:val="none" w:sz="0" w:space="0" w:color="auto"/>
          </w:divBdr>
        </w:div>
        <w:div w:id="778061005">
          <w:marLeft w:val="0"/>
          <w:marRight w:val="0"/>
          <w:marTop w:val="0"/>
          <w:marBottom w:val="0"/>
          <w:divBdr>
            <w:top w:val="none" w:sz="0" w:space="0" w:color="auto"/>
            <w:left w:val="none" w:sz="0" w:space="0" w:color="auto"/>
            <w:bottom w:val="none" w:sz="0" w:space="0" w:color="auto"/>
            <w:right w:val="none" w:sz="0" w:space="0" w:color="auto"/>
          </w:divBdr>
        </w:div>
        <w:div w:id="228344989">
          <w:marLeft w:val="0"/>
          <w:marRight w:val="0"/>
          <w:marTop w:val="0"/>
          <w:marBottom w:val="0"/>
          <w:divBdr>
            <w:top w:val="none" w:sz="0" w:space="0" w:color="auto"/>
            <w:left w:val="none" w:sz="0" w:space="0" w:color="auto"/>
            <w:bottom w:val="none" w:sz="0" w:space="0" w:color="auto"/>
            <w:right w:val="none" w:sz="0" w:space="0" w:color="auto"/>
          </w:divBdr>
        </w:div>
        <w:div w:id="1635520180">
          <w:marLeft w:val="0"/>
          <w:marRight w:val="0"/>
          <w:marTop w:val="0"/>
          <w:marBottom w:val="0"/>
          <w:divBdr>
            <w:top w:val="none" w:sz="0" w:space="0" w:color="auto"/>
            <w:left w:val="none" w:sz="0" w:space="0" w:color="auto"/>
            <w:bottom w:val="none" w:sz="0" w:space="0" w:color="auto"/>
            <w:right w:val="none" w:sz="0" w:space="0" w:color="auto"/>
          </w:divBdr>
        </w:div>
        <w:div w:id="645476002">
          <w:marLeft w:val="0"/>
          <w:marRight w:val="0"/>
          <w:marTop w:val="0"/>
          <w:marBottom w:val="0"/>
          <w:divBdr>
            <w:top w:val="none" w:sz="0" w:space="0" w:color="auto"/>
            <w:left w:val="none" w:sz="0" w:space="0" w:color="auto"/>
            <w:bottom w:val="none" w:sz="0" w:space="0" w:color="auto"/>
            <w:right w:val="none" w:sz="0" w:space="0" w:color="auto"/>
          </w:divBdr>
        </w:div>
        <w:div w:id="157311528">
          <w:marLeft w:val="0"/>
          <w:marRight w:val="0"/>
          <w:marTop w:val="0"/>
          <w:marBottom w:val="0"/>
          <w:divBdr>
            <w:top w:val="none" w:sz="0" w:space="0" w:color="auto"/>
            <w:left w:val="none" w:sz="0" w:space="0" w:color="auto"/>
            <w:bottom w:val="none" w:sz="0" w:space="0" w:color="auto"/>
            <w:right w:val="none" w:sz="0" w:space="0" w:color="auto"/>
          </w:divBdr>
        </w:div>
        <w:div w:id="823159641">
          <w:marLeft w:val="0"/>
          <w:marRight w:val="0"/>
          <w:marTop w:val="0"/>
          <w:marBottom w:val="0"/>
          <w:divBdr>
            <w:top w:val="none" w:sz="0" w:space="0" w:color="auto"/>
            <w:left w:val="none" w:sz="0" w:space="0" w:color="auto"/>
            <w:bottom w:val="none" w:sz="0" w:space="0" w:color="auto"/>
            <w:right w:val="none" w:sz="0" w:space="0" w:color="auto"/>
          </w:divBdr>
        </w:div>
        <w:div w:id="1382898333">
          <w:marLeft w:val="0"/>
          <w:marRight w:val="0"/>
          <w:marTop w:val="0"/>
          <w:marBottom w:val="0"/>
          <w:divBdr>
            <w:top w:val="none" w:sz="0" w:space="0" w:color="auto"/>
            <w:left w:val="none" w:sz="0" w:space="0" w:color="auto"/>
            <w:bottom w:val="none" w:sz="0" w:space="0" w:color="auto"/>
            <w:right w:val="none" w:sz="0" w:space="0" w:color="auto"/>
          </w:divBdr>
        </w:div>
        <w:div w:id="1236625037">
          <w:marLeft w:val="0"/>
          <w:marRight w:val="0"/>
          <w:marTop w:val="0"/>
          <w:marBottom w:val="0"/>
          <w:divBdr>
            <w:top w:val="none" w:sz="0" w:space="0" w:color="auto"/>
            <w:left w:val="none" w:sz="0" w:space="0" w:color="auto"/>
            <w:bottom w:val="none" w:sz="0" w:space="0" w:color="auto"/>
            <w:right w:val="none" w:sz="0" w:space="0" w:color="auto"/>
          </w:divBdr>
        </w:div>
        <w:div w:id="1383872336">
          <w:marLeft w:val="0"/>
          <w:marRight w:val="0"/>
          <w:marTop w:val="0"/>
          <w:marBottom w:val="0"/>
          <w:divBdr>
            <w:top w:val="none" w:sz="0" w:space="0" w:color="auto"/>
            <w:left w:val="none" w:sz="0" w:space="0" w:color="auto"/>
            <w:bottom w:val="none" w:sz="0" w:space="0" w:color="auto"/>
            <w:right w:val="none" w:sz="0" w:space="0" w:color="auto"/>
          </w:divBdr>
        </w:div>
        <w:div w:id="283080766">
          <w:marLeft w:val="0"/>
          <w:marRight w:val="0"/>
          <w:marTop w:val="0"/>
          <w:marBottom w:val="0"/>
          <w:divBdr>
            <w:top w:val="none" w:sz="0" w:space="0" w:color="auto"/>
            <w:left w:val="none" w:sz="0" w:space="0" w:color="auto"/>
            <w:bottom w:val="none" w:sz="0" w:space="0" w:color="auto"/>
            <w:right w:val="none" w:sz="0" w:space="0" w:color="auto"/>
          </w:divBdr>
        </w:div>
        <w:div w:id="391318626">
          <w:marLeft w:val="0"/>
          <w:marRight w:val="0"/>
          <w:marTop w:val="0"/>
          <w:marBottom w:val="0"/>
          <w:divBdr>
            <w:top w:val="none" w:sz="0" w:space="0" w:color="auto"/>
            <w:left w:val="none" w:sz="0" w:space="0" w:color="auto"/>
            <w:bottom w:val="none" w:sz="0" w:space="0" w:color="auto"/>
            <w:right w:val="none" w:sz="0" w:space="0" w:color="auto"/>
          </w:divBdr>
        </w:div>
      </w:divsChild>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498618934">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16044650">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29143298">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4022338">
      <w:bodyDiv w:val="1"/>
      <w:marLeft w:val="0"/>
      <w:marRight w:val="0"/>
      <w:marTop w:val="0"/>
      <w:marBottom w:val="0"/>
      <w:divBdr>
        <w:top w:val="none" w:sz="0" w:space="0" w:color="auto"/>
        <w:left w:val="none" w:sz="0" w:space="0" w:color="auto"/>
        <w:bottom w:val="none" w:sz="0" w:space="0" w:color="auto"/>
        <w:right w:val="none" w:sz="0" w:space="0" w:color="auto"/>
      </w:divBdr>
    </w:div>
    <w:div w:id="544685918">
      <w:bodyDiv w:val="1"/>
      <w:marLeft w:val="0"/>
      <w:marRight w:val="0"/>
      <w:marTop w:val="0"/>
      <w:marBottom w:val="0"/>
      <w:divBdr>
        <w:top w:val="none" w:sz="0" w:space="0" w:color="auto"/>
        <w:left w:val="none" w:sz="0" w:space="0" w:color="auto"/>
        <w:bottom w:val="none" w:sz="0" w:space="0" w:color="auto"/>
        <w:right w:val="none" w:sz="0" w:space="0" w:color="auto"/>
      </w:divBdr>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6354752">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83606427">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4263006">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39846648">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2076785">
      <w:bodyDiv w:val="1"/>
      <w:marLeft w:val="0"/>
      <w:marRight w:val="0"/>
      <w:marTop w:val="0"/>
      <w:marBottom w:val="0"/>
      <w:divBdr>
        <w:top w:val="none" w:sz="0" w:space="0" w:color="auto"/>
        <w:left w:val="none" w:sz="0" w:space="0" w:color="auto"/>
        <w:bottom w:val="none" w:sz="0" w:space="0" w:color="auto"/>
        <w:right w:val="none" w:sz="0" w:space="0" w:color="auto"/>
      </w:divBdr>
      <w:divsChild>
        <w:div w:id="594099959">
          <w:marLeft w:val="0"/>
          <w:marRight w:val="0"/>
          <w:marTop w:val="0"/>
          <w:marBottom w:val="0"/>
          <w:divBdr>
            <w:top w:val="none" w:sz="0" w:space="0" w:color="auto"/>
            <w:left w:val="none" w:sz="0" w:space="0" w:color="auto"/>
            <w:bottom w:val="none" w:sz="0" w:space="0" w:color="auto"/>
            <w:right w:val="none" w:sz="0" w:space="0" w:color="auto"/>
          </w:divBdr>
        </w:div>
      </w:divsChild>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 w:id="310058828">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3162527">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68501537">
      <w:bodyDiv w:val="1"/>
      <w:marLeft w:val="0"/>
      <w:marRight w:val="0"/>
      <w:marTop w:val="0"/>
      <w:marBottom w:val="0"/>
      <w:divBdr>
        <w:top w:val="none" w:sz="0" w:space="0" w:color="auto"/>
        <w:left w:val="none" w:sz="0" w:space="0" w:color="auto"/>
        <w:bottom w:val="none" w:sz="0" w:space="0" w:color="auto"/>
        <w:right w:val="none" w:sz="0" w:space="0" w:color="auto"/>
      </w:divBdr>
    </w:div>
    <w:div w:id="780996693">
      <w:bodyDiv w:val="1"/>
      <w:marLeft w:val="0"/>
      <w:marRight w:val="0"/>
      <w:marTop w:val="0"/>
      <w:marBottom w:val="0"/>
      <w:divBdr>
        <w:top w:val="none" w:sz="0" w:space="0" w:color="auto"/>
        <w:left w:val="none" w:sz="0" w:space="0" w:color="auto"/>
        <w:bottom w:val="none" w:sz="0" w:space="0" w:color="auto"/>
        <w:right w:val="none" w:sz="0" w:space="0" w:color="auto"/>
      </w:divBdr>
    </w:div>
    <w:div w:id="782191530">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43742371">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60169670">
      <w:bodyDiv w:val="1"/>
      <w:marLeft w:val="0"/>
      <w:marRight w:val="0"/>
      <w:marTop w:val="0"/>
      <w:marBottom w:val="0"/>
      <w:divBdr>
        <w:top w:val="none" w:sz="0" w:space="0" w:color="auto"/>
        <w:left w:val="none" w:sz="0" w:space="0" w:color="auto"/>
        <w:bottom w:val="none" w:sz="0" w:space="0" w:color="auto"/>
        <w:right w:val="none" w:sz="0" w:space="0" w:color="auto"/>
      </w:divBdr>
      <w:divsChild>
        <w:div w:id="956763086">
          <w:marLeft w:val="0"/>
          <w:marRight w:val="0"/>
          <w:marTop w:val="0"/>
          <w:marBottom w:val="0"/>
          <w:divBdr>
            <w:top w:val="none" w:sz="0" w:space="0" w:color="auto"/>
            <w:left w:val="none" w:sz="0" w:space="0" w:color="auto"/>
            <w:bottom w:val="none" w:sz="0" w:space="0" w:color="auto"/>
            <w:right w:val="none" w:sz="0" w:space="0" w:color="auto"/>
          </w:divBdr>
        </w:div>
        <w:div w:id="1614970702">
          <w:marLeft w:val="0"/>
          <w:marRight w:val="0"/>
          <w:marTop w:val="0"/>
          <w:marBottom w:val="0"/>
          <w:divBdr>
            <w:top w:val="none" w:sz="0" w:space="0" w:color="auto"/>
            <w:left w:val="none" w:sz="0" w:space="0" w:color="auto"/>
            <w:bottom w:val="none" w:sz="0" w:space="0" w:color="auto"/>
            <w:right w:val="none" w:sz="0" w:space="0" w:color="auto"/>
          </w:divBdr>
        </w:div>
        <w:div w:id="146020952">
          <w:marLeft w:val="0"/>
          <w:marRight w:val="0"/>
          <w:marTop w:val="0"/>
          <w:marBottom w:val="0"/>
          <w:divBdr>
            <w:top w:val="none" w:sz="0" w:space="0" w:color="auto"/>
            <w:left w:val="none" w:sz="0" w:space="0" w:color="auto"/>
            <w:bottom w:val="none" w:sz="0" w:space="0" w:color="auto"/>
            <w:right w:val="none" w:sz="0" w:space="0" w:color="auto"/>
          </w:divBdr>
        </w:div>
        <w:div w:id="1095859961">
          <w:marLeft w:val="0"/>
          <w:marRight w:val="0"/>
          <w:marTop w:val="0"/>
          <w:marBottom w:val="0"/>
          <w:divBdr>
            <w:top w:val="none" w:sz="0" w:space="0" w:color="auto"/>
            <w:left w:val="none" w:sz="0" w:space="0" w:color="auto"/>
            <w:bottom w:val="none" w:sz="0" w:space="0" w:color="auto"/>
            <w:right w:val="none" w:sz="0" w:space="0" w:color="auto"/>
          </w:divBdr>
        </w:div>
      </w:divsChild>
    </w:div>
    <w:div w:id="860170075">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1792505">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22371808">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38147951">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41759722">
      <w:bodyDiv w:val="1"/>
      <w:marLeft w:val="0"/>
      <w:marRight w:val="0"/>
      <w:marTop w:val="0"/>
      <w:marBottom w:val="0"/>
      <w:divBdr>
        <w:top w:val="none" w:sz="0" w:space="0" w:color="auto"/>
        <w:left w:val="none" w:sz="0" w:space="0" w:color="auto"/>
        <w:bottom w:val="none" w:sz="0" w:space="0" w:color="auto"/>
        <w:right w:val="none" w:sz="0" w:space="0" w:color="auto"/>
      </w:divBdr>
    </w:div>
    <w:div w:id="957758608">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5054272">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38890733">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6372251">
      <w:bodyDiv w:val="1"/>
      <w:marLeft w:val="0"/>
      <w:marRight w:val="0"/>
      <w:marTop w:val="0"/>
      <w:marBottom w:val="0"/>
      <w:divBdr>
        <w:top w:val="none" w:sz="0" w:space="0" w:color="auto"/>
        <w:left w:val="none" w:sz="0" w:space="0" w:color="auto"/>
        <w:bottom w:val="none" w:sz="0" w:space="0" w:color="auto"/>
        <w:right w:val="none" w:sz="0" w:space="0" w:color="auto"/>
      </w:divBdr>
    </w:div>
    <w:div w:id="104644477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70158874">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194507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92048763">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1718314423">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 w:id="657459696">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49857555">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4293349">
      <w:bodyDiv w:val="1"/>
      <w:marLeft w:val="0"/>
      <w:marRight w:val="0"/>
      <w:marTop w:val="0"/>
      <w:marBottom w:val="0"/>
      <w:divBdr>
        <w:top w:val="none" w:sz="0" w:space="0" w:color="auto"/>
        <w:left w:val="none" w:sz="0" w:space="0" w:color="auto"/>
        <w:bottom w:val="none" w:sz="0" w:space="0" w:color="auto"/>
        <w:right w:val="none" w:sz="0" w:space="0" w:color="auto"/>
      </w:divBdr>
      <w:divsChild>
        <w:div w:id="992413654">
          <w:marLeft w:val="0"/>
          <w:marRight w:val="0"/>
          <w:marTop w:val="0"/>
          <w:marBottom w:val="0"/>
          <w:divBdr>
            <w:top w:val="none" w:sz="0" w:space="0" w:color="auto"/>
            <w:left w:val="none" w:sz="0" w:space="0" w:color="auto"/>
            <w:bottom w:val="none" w:sz="0" w:space="0" w:color="auto"/>
            <w:right w:val="none" w:sz="0" w:space="0" w:color="auto"/>
          </w:divBdr>
        </w:div>
        <w:div w:id="756907227">
          <w:marLeft w:val="0"/>
          <w:marRight w:val="0"/>
          <w:marTop w:val="0"/>
          <w:marBottom w:val="0"/>
          <w:divBdr>
            <w:top w:val="none" w:sz="0" w:space="0" w:color="auto"/>
            <w:left w:val="none" w:sz="0" w:space="0" w:color="auto"/>
            <w:bottom w:val="none" w:sz="0" w:space="0" w:color="auto"/>
            <w:right w:val="none" w:sz="0" w:space="0" w:color="auto"/>
          </w:divBdr>
        </w:div>
        <w:div w:id="157431142">
          <w:marLeft w:val="0"/>
          <w:marRight w:val="0"/>
          <w:marTop w:val="0"/>
          <w:marBottom w:val="0"/>
          <w:divBdr>
            <w:top w:val="none" w:sz="0" w:space="0" w:color="auto"/>
            <w:left w:val="none" w:sz="0" w:space="0" w:color="auto"/>
            <w:bottom w:val="none" w:sz="0" w:space="0" w:color="auto"/>
            <w:right w:val="none" w:sz="0" w:space="0" w:color="auto"/>
          </w:divBdr>
        </w:div>
        <w:div w:id="857887957">
          <w:marLeft w:val="0"/>
          <w:marRight w:val="0"/>
          <w:marTop w:val="0"/>
          <w:marBottom w:val="0"/>
          <w:divBdr>
            <w:top w:val="none" w:sz="0" w:space="0" w:color="auto"/>
            <w:left w:val="none" w:sz="0" w:space="0" w:color="auto"/>
            <w:bottom w:val="none" w:sz="0" w:space="0" w:color="auto"/>
            <w:right w:val="none" w:sz="0" w:space="0" w:color="auto"/>
          </w:divBdr>
        </w:div>
        <w:div w:id="174729798">
          <w:marLeft w:val="0"/>
          <w:marRight w:val="0"/>
          <w:marTop w:val="0"/>
          <w:marBottom w:val="0"/>
          <w:divBdr>
            <w:top w:val="none" w:sz="0" w:space="0" w:color="auto"/>
            <w:left w:val="none" w:sz="0" w:space="0" w:color="auto"/>
            <w:bottom w:val="none" w:sz="0" w:space="0" w:color="auto"/>
            <w:right w:val="none" w:sz="0" w:space="0" w:color="auto"/>
          </w:divBdr>
        </w:div>
        <w:div w:id="1138181636">
          <w:marLeft w:val="0"/>
          <w:marRight w:val="0"/>
          <w:marTop w:val="0"/>
          <w:marBottom w:val="0"/>
          <w:divBdr>
            <w:top w:val="none" w:sz="0" w:space="0" w:color="auto"/>
            <w:left w:val="none" w:sz="0" w:space="0" w:color="auto"/>
            <w:bottom w:val="none" w:sz="0" w:space="0" w:color="auto"/>
            <w:right w:val="none" w:sz="0" w:space="0" w:color="auto"/>
          </w:divBdr>
        </w:div>
        <w:div w:id="806237587">
          <w:marLeft w:val="0"/>
          <w:marRight w:val="0"/>
          <w:marTop w:val="0"/>
          <w:marBottom w:val="0"/>
          <w:divBdr>
            <w:top w:val="none" w:sz="0" w:space="0" w:color="auto"/>
            <w:left w:val="none" w:sz="0" w:space="0" w:color="auto"/>
            <w:bottom w:val="none" w:sz="0" w:space="0" w:color="auto"/>
            <w:right w:val="none" w:sz="0" w:space="0" w:color="auto"/>
          </w:divBdr>
        </w:div>
        <w:div w:id="1813672308">
          <w:marLeft w:val="0"/>
          <w:marRight w:val="0"/>
          <w:marTop w:val="0"/>
          <w:marBottom w:val="0"/>
          <w:divBdr>
            <w:top w:val="none" w:sz="0" w:space="0" w:color="auto"/>
            <w:left w:val="none" w:sz="0" w:space="0" w:color="auto"/>
            <w:bottom w:val="none" w:sz="0" w:space="0" w:color="auto"/>
            <w:right w:val="none" w:sz="0" w:space="0" w:color="auto"/>
          </w:divBdr>
        </w:div>
        <w:div w:id="493767997">
          <w:marLeft w:val="0"/>
          <w:marRight w:val="0"/>
          <w:marTop w:val="0"/>
          <w:marBottom w:val="0"/>
          <w:divBdr>
            <w:top w:val="none" w:sz="0" w:space="0" w:color="auto"/>
            <w:left w:val="none" w:sz="0" w:space="0" w:color="auto"/>
            <w:bottom w:val="none" w:sz="0" w:space="0" w:color="auto"/>
            <w:right w:val="none" w:sz="0" w:space="0" w:color="auto"/>
          </w:divBdr>
        </w:div>
        <w:div w:id="1136994380">
          <w:marLeft w:val="0"/>
          <w:marRight w:val="0"/>
          <w:marTop w:val="0"/>
          <w:marBottom w:val="0"/>
          <w:divBdr>
            <w:top w:val="none" w:sz="0" w:space="0" w:color="auto"/>
            <w:left w:val="none" w:sz="0" w:space="0" w:color="auto"/>
            <w:bottom w:val="none" w:sz="0" w:space="0" w:color="auto"/>
            <w:right w:val="none" w:sz="0" w:space="0" w:color="auto"/>
          </w:divBdr>
        </w:div>
        <w:div w:id="1987318857">
          <w:marLeft w:val="0"/>
          <w:marRight w:val="0"/>
          <w:marTop w:val="0"/>
          <w:marBottom w:val="0"/>
          <w:divBdr>
            <w:top w:val="none" w:sz="0" w:space="0" w:color="auto"/>
            <w:left w:val="none" w:sz="0" w:space="0" w:color="auto"/>
            <w:bottom w:val="none" w:sz="0" w:space="0" w:color="auto"/>
            <w:right w:val="none" w:sz="0" w:space="0" w:color="auto"/>
          </w:divBdr>
        </w:div>
        <w:div w:id="899751526">
          <w:marLeft w:val="0"/>
          <w:marRight w:val="0"/>
          <w:marTop w:val="0"/>
          <w:marBottom w:val="0"/>
          <w:divBdr>
            <w:top w:val="none" w:sz="0" w:space="0" w:color="auto"/>
            <w:left w:val="none" w:sz="0" w:space="0" w:color="auto"/>
            <w:bottom w:val="none" w:sz="0" w:space="0" w:color="auto"/>
            <w:right w:val="none" w:sz="0" w:space="0" w:color="auto"/>
          </w:divBdr>
        </w:div>
        <w:div w:id="1355494383">
          <w:marLeft w:val="0"/>
          <w:marRight w:val="0"/>
          <w:marTop w:val="0"/>
          <w:marBottom w:val="0"/>
          <w:divBdr>
            <w:top w:val="none" w:sz="0" w:space="0" w:color="auto"/>
            <w:left w:val="none" w:sz="0" w:space="0" w:color="auto"/>
            <w:bottom w:val="none" w:sz="0" w:space="0" w:color="auto"/>
            <w:right w:val="none" w:sz="0" w:space="0" w:color="auto"/>
          </w:divBdr>
        </w:div>
        <w:div w:id="1861552599">
          <w:marLeft w:val="0"/>
          <w:marRight w:val="0"/>
          <w:marTop w:val="0"/>
          <w:marBottom w:val="0"/>
          <w:divBdr>
            <w:top w:val="none" w:sz="0" w:space="0" w:color="auto"/>
            <w:left w:val="none" w:sz="0" w:space="0" w:color="auto"/>
            <w:bottom w:val="none" w:sz="0" w:space="0" w:color="auto"/>
            <w:right w:val="none" w:sz="0" w:space="0" w:color="auto"/>
          </w:divBdr>
        </w:div>
        <w:div w:id="454448991">
          <w:marLeft w:val="0"/>
          <w:marRight w:val="0"/>
          <w:marTop w:val="0"/>
          <w:marBottom w:val="0"/>
          <w:divBdr>
            <w:top w:val="none" w:sz="0" w:space="0" w:color="auto"/>
            <w:left w:val="none" w:sz="0" w:space="0" w:color="auto"/>
            <w:bottom w:val="none" w:sz="0" w:space="0" w:color="auto"/>
            <w:right w:val="none" w:sz="0" w:space="0" w:color="auto"/>
          </w:divBdr>
        </w:div>
        <w:div w:id="171535718">
          <w:marLeft w:val="0"/>
          <w:marRight w:val="0"/>
          <w:marTop w:val="0"/>
          <w:marBottom w:val="0"/>
          <w:divBdr>
            <w:top w:val="none" w:sz="0" w:space="0" w:color="auto"/>
            <w:left w:val="none" w:sz="0" w:space="0" w:color="auto"/>
            <w:bottom w:val="none" w:sz="0" w:space="0" w:color="auto"/>
            <w:right w:val="none" w:sz="0" w:space="0" w:color="auto"/>
          </w:divBdr>
        </w:div>
        <w:div w:id="154614498">
          <w:marLeft w:val="0"/>
          <w:marRight w:val="0"/>
          <w:marTop w:val="0"/>
          <w:marBottom w:val="0"/>
          <w:divBdr>
            <w:top w:val="none" w:sz="0" w:space="0" w:color="auto"/>
            <w:left w:val="none" w:sz="0" w:space="0" w:color="auto"/>
            <w:bottom w:val="none" w:sz="0" w:space="0" w:color="auto"/>
            <w:right w:val="none" w:sz="0" w:space="0" w:color="auto"/>
          </w:divBdr>
        </w:div>
        <w:div w:id="334848000">
          <w:marLeft w:val="0"/>
          <w:marRight w:val="0"/>
          <w:marTop w:val="0"/>
          <w:marBottom w:val="0"/>
          <w:divBdr>
            <w:top w:val="none" w:sz="0" w:space="0" w:color="auto"/>
            <w:left w:val="none" w:sz="0" w:space="0" w:color="auto"/>
            <w:bottom w:val="none" w:sz="0" w:space="0" w:color="auto"/>
            <w:right w:val="none" w:sz="0" w:space="0" w:color="auto"/>
          </w:divBdr>
        </w:div>
        <w:div w:id="2123760403">
          <w:marLeft w:val="0"/>
          <w:marRight w:val="0"/>
          <w:marTop w:val="0"/>
          <w:marBottom w:val="0"/>
          <w:divBdr>
            <w:top w:val="none" w:sz="0" w:space="0" w:color="auto"/>
            <w:left w:val="none" w:sz="0" w:space="0" w:color="auto"/>
            <w:bottom w:val="none" w:sz="0" w:space="0" w:color="auto"/>
            <w:right w:val="none" w:sz="0" w:space="0" w:color="auto"/>
          </w:divBdr>
        </w:div>
        <w:div w:id="1805809794">
          <w:marLeft w:val="0"/>
          <w:marRight w:val="0"/>
          <w:marTop w:val="0"/>
          <w:marBottom w:val="0"/>
          <w:divBdr>
            <w:top w:val="none" w:sz="0" w:space="0" w:color="auto"/>
            <w:left w:val="none" w:sz="0" w:space="0" w:color="auto"/>
            <w:bottom w:val="none" w:sz="0" w:space="0" w:color="auto"/>
            <w:right w:val="none" w:sz="0" w:space="0" w:color="auto"/>
          </w:divBdr>
        </w:div>
        <w:div w:id="867522185">
          <w:marLeft w:val="0"/>
          <w:marRight w:val="0"/>
          <w:marTop w:val="0"/>
          <w:marBottom w:val="0"/>
          <w:divBdr>
            <w:top w:val="none" w:sz="0" w:space="0" w:color="auto"/>
            <w:left w:val="none" w:sz="0" w:space="0" w:color="auto"/>
            <w:bottom w:val="none" w:sz="0" w:space="0" w:color="auto"/>
            <w:right w:val="none" w:sz="0" w:space="0" w:color="auto"/>
          </w:divBdr>
        </w:div>
        <w:div w:id="1493713868">
          <w:marLeft w:val="0"/>
          <w:marRight w:val="0"/>
          <w:marTop w:val="0"/>
          <w:marBottom w:val="0"/>
          <w:divBdr>
            <w:top w:val="none" w:sz="0" w:space="0" w:color="auto"/>
            <w:left w:val="none" w:sz="0" w:space="0" w:color="auto"/>
            <w:bottom w:val="none" w:sz="0" w:space="0" w:color="auto"/>
            <w:right w:val="none" w:sz="0" w:space="0" w:color="auto"/>
          </w:divBdr>
        </w:div>
        <w:div w:id="163129694">
          <w:marLeft w:val="0"/>
          <w:marRight w:val="0"/>
          <w:marTop w:val="0"/>
          <w:marBottom w:val="0"/>
          <w:divBdr>
            <w:top w:val="none" w:sz="0" w:space="0" w:color="auto"/>
            <w:left w:val="none" w:sz="0" w:space="0" w:color="auto"/>
            <w:bottom w:val="none" w:sz="0" w:space="0" w:color="auto"/>
            <w:right w:val="none" w:sz="0" w:space="0" w:color="auto"/>
          </w:divBdr>
        </w:div>
        <w:div w:id="498423748">
          <w:marLeft w:val="0"/>
          <w:marRight w:val="0"/>
          <w:marTop w:val="0"/>
          <w:marBottom w:val="0"/>
          <w:divBdr>
            <w:top w:val="none" w:sz="0" w:space="0" w:color="auto"/>
            <w:left w:val="none" w:sz="0" w:space="0" w:color="auto"/>
            <w:bottom w:val="none" w:sz="0" w:space="0" w:color="auto"/>
            <w:right w:val="none" w:sz="0" w:space="0" w:color="auto"/>
          </w:divBdr>
        </w:div>
        <w:div w:id="502547322">
          <w:marLeft w:val="0"/>
          <w:marRight w:val="0"/>
          <w:marTop w:val="0"/>
          <w:marBottom w:val="0"/>
          <w:divBdr>
            <w:top w:val="none" w:sz="0" w:space="0" w:color="auto"/>
            <w:left w:val="none" w:sz="0" w:space="0" w:color="auto"/>
            <w:bottom w:val="none" w:sz="0" w:space="0" w:color="auto"/>
            <w:right w:val="none" w:sz="0" w:space="0" w:color="auto"/>
          </w:divBdr>
        </w:div>
        <w:div w:id="838424845">
          <w:marLeft w:val="0"/>
          <w:marRight w:val="0"/>
          <w:marTop w:val="0"/>
          <w:marBottom w:val="0"/>
          <w:divBdr>
            <w:top w:val="none" w:sz="0" w:space="0" w:color="auto"/>
            <w:left w:val="none" w:sz="0" w:space="0" w:color="auto"/>
            <w:bottom w:val="none" w:sz="0" w:space="0" w:color="auto"/>
            <w:right w:val="none" w:sz="0" w:space="0" w:color="auto"/>
          </w:divBdr>
        </w:div>
        <w:div w:id="1923292594">
          <w:marLeft w:val="0"/>
          <w:marRight w:val="0"/>
          <w:marTop w:val="0"/>
          <w:marBottom w:val="0"/>
          <w:divBdr>
            <w:top w:val="none" w:sz="0" w:space="0" w:color="auto"/>
            <w:left w:val="none" w:sz="0" w:space="0" w:color="auto"/>
            <w:bottom w:val="none" w:sz="0" w:space="0" w:color="auto"/>
            <w:right w:val="none" w:sz="0" w:space="0" w:color="auto"/>
          </w:divBdr>
        </w:div>
        <w:div w:id="1043289494">
          <w:marLeft w:val="0"/>
          <w:marRight w:val="0"/>
          <w:marTop w:val="0"/>
          <w:marBottom w:val="0"/>
          <w:divBdr>
            <w:top w:val="none" w:sz="0" w:space="0" w:color="auto"/>
            <w:left w:val="none" w:sz="0" w:space="0" w:color="auto"/>
            <w:bottom w:val="none" w:sz="0" w:space="0" w:color="auto"/>
            <w:right w:val="none" w:sz="0" w:space="0" w:color="auto"/>
          </w:divBdr>
        </w:div>
        <w:div w:id="239869061">
          <w:marLeft w:val="0"/>
          <w:marRight w:val="0"/>
          <w:marTop w:val="0"/>
          <w:marBottom w:val="0"/>
          <w:divBdr>
            <w:top w:val="none" w:sz="0" w:space="0" w:color="auto"/>
            <w:left w:val="none" w:sz="0" w:space="0" w:color="auto"/>
            <w:bottom w:val="none" w:sz="0" w:space="0" w:color="auto"/>
            <w:right w:val="none" w:sz="0" w:space="0" w:color="auto"/>
          </w:divBdr>
        </w:div>
        <w:div w:id="883564988">
          <w:marLeft w:val="0"/>
          <w:marRight w:val="0"/>
          <w:marTop w:val="0"/>
          <w:marBottom w:val="0"/>
          <w:divBdr>
            <w:top w:val="none" w:sz="0" w:space="0" w:color="auto"/>
            <w:left w:val="none" w:sz="0" w:space="0" w:color="auto"/>
            <w:bottom w:val="none" w:sz="0" w:space="0" w:color="auto"/>
            <w:right w:val="none" w:sz="0" w:space="0" w:color="auto"/>
          </w:divBdr>
        </w:div>
        <w:div w:id="954094726">
          <w:marLeft w:val="0"/>
          <w:marRight w:val="0"/>
          <w:marTop w:val="0"/>
          <w:marBottom w:val="0"/>
          <w:divBdr>
            <w:top w:val="none" w:sz="0" w:space="0" w:color="auto"/>
            <w:left w:val="none" w:sz="0" w:space="0" w:color="auto"/>
            <w:bottom w:val="none" w:sz="0" w:space="0" w:color="auto"/>
            <w:right w:val="none" w:sz="0" w:space="0" w:color="auto"/>
          </w:divBdr>
        </w:div>
        <w:div w:id="878323091">
          <w:marLeft w:val="0"/>
          <w:marRight w:val="0"/>
          <w:marTop w:val="0"/>
          <w:marBottom w:val="0"/>
          <w:divBdr>
            <w:top w:val="none" w:sz="0" w:space="0" w:color="auto"/>
            <w:left w:val="none" w:sz="0" w:space="0" w:color="auto"/>
            <w:bottom w:val="none" w:sz="0" w:space="0" w:color="auto"/>
            <w:right w:val="none" w:sz="0" w:space="0" w:color="auto"/>
          </w:divBdr>
        </w:div>
        <w:div w:id="357051024">
          <w:marLeft w:val="0"/>
          <w:marRight w:val="0"/>
          <w:marTop w:val="0"/>
          <w:marBottom w:val="0"/>
          <w:divBdr>
            <w:top w:val="none" w:sz="0" w:space="0" w:color="auto"/>
            <w:left w:val="none" w:sz="0" w:space="0" w:color="auto"/>
            <w:bottom w:val="none" w:sz="0" w:space="0" w:color="auto"/>
            <w:right w:val="none" w:sz="0" w:space="0" w:color="auto"/>
          </w:divBdr>
        </w:div>
        <w:div w:id="1716155787">
          <w:marLeft w:val="0"/>
          <w:marRight w:val="0"/>
          <w:marTop w:val="0"/>
          <w:marBottom w:val="0"/>
          <w:divBdr>
            <w:top w:val="none" w:sz="0" w:space="0" w:color="auto"/>
            <w:left w:val="none" w:sz="0" w:space="0" w:color="auto"/>
            <w:bottom w:val="none" w:sz="0" w:space="0" w:color="auto"/>
            <w:right w:val="none" w:sz="0" w:space="0" w:color="auto"/>
          </w:divBdr>
        </w:div>
        <w:div w:id="157504795">
          <w:marLeft w:val="0"/>
          <w:marRight w:val="0"/>
          <w:marTop w:val="0"/>
          <w:marBottom w:val="0"/>
          <w:divBdr>
            <w:top w:val="none" w:sz="0" w:space="0" w:color="auto"/>
            <w:left w:val="none" w:sz="0" w:space="0" w:color="auto"/>
            <w:bottom w:val="none" w:sz="0" w:space="0" w:color="auto"/>
            <w:right w:val="none" w:sz="0" w:space="0" w:color="auto"/>
          </w:divBdr>
        </w:div>
        <w:div w:id="524487041">
          <w:marLeft w:val="0"/>
          <w:marRight w:val="0"/>
          <w:marTop w:val="0"/>
          <w:marBottom w:val="0"/>
          <w:divBdr>
            <w:top w:val="none" w:sz="0" w:space="0" w:color="auto"/>
            <w:left w:val="none" w:sz="0" w:space="0" w:color="auto"/>
            <w:bottom w:val="none" w:sz="0" w:space="0" w:color="auto"/>
            <w:right w:val="none" w:sz="0" w:space="0" w:color="auto"/>
          </w:divBdr>
        </w:div>
        <w:div w:id="765540390">
          <w:marLeft w:val="0"/>
          <w:marRight w:val="0"/>
          <w:marTop w:val="0"/>
          <w:marBottom w:val="0"/>
          <w:divBdr>
            <w:top w:val="none" w:sz="0" w:space="0" w:color="auto"/>
            <w:left w:val="none" w:sz="0" w:space="0" w:color="auto"/>
            <w:bottom w:val="none" w:sz="0" w:space="0" w:color="auto"/>
            <w:right w:val="none" w:sz="0" w:space="0" w:color="auto"/>
          </w:divBdr>
        </w:div>
        <w:div w:id="532767700">
          <w:marLeft w:val="0"/>
          <w:marRight w:val="0"/>
          <w:marTop w:val="0"/>
          <w:marBottom w:val="0"/>
          <w:divBdr>
            <w:top w:val="none" w:sz="0" w:space="0" w:color="auto"/>
            <w:left w:val="none" w:sz="0" w:space="0" w:color="auto"/>
            <w:bottom w:val="none" w:sz="0" w:space="0" w:color="auto"/>
            <w:right w:val="none" w:sz="0" w:space="0" w:color="auto"/>
          </w:divBdr>
        </w:div>
        <w:div w:id="1610698330">
          <w:marLeft w:val="0"/>
          <w:marRight w:val="0"/>
          <w:marTop w:val="0"/>
          <w:marBottom w:val="0"/>
          <w:divBdr>
            <w:top w:val="none" w:sz="0" w:space="0" w:color="auto"/>
            <w:left w:val="none" w:sz="0" w:space="0" w:color="auto"/>
            <w:bottom w:val="none" w:sz="0" w:space="0" w:color="auto"/>
            <w:right w:val="none" w:sz="0" w:space="0" w:color="auto"/>
          </w:divBdr>
        </w:div>
        <w:div w:id="1769619501">
          <w:marLeft w:val="0"/>
          <w:marRight w:val="0"/>
          <w:marTop w:val="0"/>
          <w:marBottom w:val="0"/>
          <w:divBdr>
            <w:top w:val="none" w:sz="0" w:space="0" w:color="auto"/>
            <w:left w:val="none" w:sz="0" w:space="0" w:color="auto"/>
            <w:bottom w:val="none" w:sz="0" w:space="0" w:color="auto"/>
            <w:right w:val="none" w:sz="0" w:space="0" w:color="auto"/>
          </w:divBdr>
        </w:div>
        <w:div w:id="258801697">
          <w:marLeft w:val="0"/>
          <w:marRight w:val="0"/>
          <w:marTop w:val="0"/>
          <w:marBottom w:val="0"/>
          <w:divBdr>
            <w:top w:val="none" w:sz="0" w:space="0" w:color="auto"/>
            <w:left w:val="none" w:sz="0" w:space="0" w:color="auto"/>
            <w:bottom w:val="none" w:sz="0" w:space="0" w:color="auto"/>
            <w:right w:val="none" w:sz="0" w:space="0" w:color="auto"/>
          </w:divBdr>
        </w:div>
        <w:div w:id="7997355">
          <w:marLeft w:val="0"/>
          <w:marRight w:val="0"/>
          <w:marTop w:val="0"/>
          <w:marBottom w:val="0"/>
          <w:divBdr>
            <w:top w:val="none" w:sz="0" w:space="0" w:color="auto"/>
            <w:left w:val="none" w:sz="0" w:space="0" w:color="auto"/>
            <w:bottom w:val="none" w:sz="0" w:space="0" w:color="auto"/>
            <w:right w:val="none" w:sz="0" w:space="0" w:color="auto"/>
          </w:divBdr>
        </w:div>
        <w:div w:id="794905169">
          <w:marLeft w:val="0"/>
          <w:marRight w:val="0"/>
          <w:marTop w:val="0"/>
          <w:marBottom w:val="0"/>
          <w:divBdr>
            <w:top w:val="none" w:sz="0" w:space="0" w:color="auto"/>
            <w:left w:val="none" w:sz="0" w:space="0" w:color="auto"/>
            <w:bottom w:val="none" w:sz="0" w:space="0" w:color="auto"/>
            <w:right w:val="none" w:sz="0" w:space="0" w:color="auto"/>
          </w:divBdr>
        </w:div>
        <w:div w:id="429207134">
          <w:marLeft w:val="0"/>
          <w:marRight w:val="0"/>
          <w:marTop w:val="0"/>
          <w:marBottom w:val="0"/>
          <w:divBdr>
            <w:top w:val="none" w:sz="0" w:space="0" w:color="auto"/>
            <w:left w:val="none" w:sz="0" w:space="0" w:color="auto"/>
            <w:bottom w:val="none" w:sz="0" w:space="0" w:color="auto"/>
            <w:right w:val="none" w:sz="0" w:space="0" w:color="auto"/>
          </w:divBdr>
        </w:div>
        <w:div w:id="1873884867">
          <w:marLeft w:val="0"/>
          <w:marRight w:val="0"/>
          <w:marTop w:val="0"/>
          <w:marBottom w:val="0"/>
          <w:divBdr>
            <w:top w:val="none" w:sz="0" w:space="0" w:color="auto"/>
            <w:left w:val="none" w:sz="0" w:space="0" w:color="auto"/>
            <w:bottom w:val="none" w:sz="0" w:space="0" w:color="auto"/>
            <w:right w:val="none" w:sz="0" w:space="0" w:color="auto"/>
          </w:divBdr>
        </w:div>
        <w:div w:id="2030525368">
          <w:marLeft w:val="0"/>
          <w:marRight w:val="0"/>
          <w:marTop w:val="0"/>
          <w:marBottom w:val="0"/>
          <w:divBdr>
            <w:top w:val="none" w:sz="0" w:space="0" w:color="auto"/>
            <w:left w:val="none" w:sz="0" w:space="0" w:color="auto"/>
            <w:bottom w:val="none" w:sz="0" w:space="0" w:color="auto"/>
            <w:right w:val="none" w:sz="0" w:space="0" w:color="auto"/>
          </w:divBdr>
        </w:div>
        <w:div w:id="943998165">
          <w:marLeft w:val="0"/>
          <w:marRight w:val="0"/>
          <w:marTop w:val="0"/>
          <w:marBottom w:val="0"/>
          <w:divBdr>
            <w:top w:val="none" w:sz="0" w:space="0" w:color="auto"/>
            <w:left w:val="none" w:sz="0" w:space="0" w:color="auto"/>
            <w:bottom w:val="none" w:sz="0" w:space="0" w:color="auto"/>
            <w:right w:val="none" w:sz="0" w:space="0" w:color="auto"/>
          </w:divBdr>
        </w:div>
        <w:div w:id="1256398597">
          <w:marLeft w:val="0"/>
          <w:marRight w:val="0"/>
          <w:marTop w:val="0"/>
          <w:marBottom w:val="0"/>
          <w:divBdr>
            <w:top w:val="none" w:sz="0" w:space="0" w:color="auto"/>
            <w:left w:val="none" w:sz="0" w:space="0" w:color="auto"/>
            <w:bottom w:val="none" w:sz="0" w:space="0" w:color="auto"/>
            <w:right w:val="none" w:sz="0" w:space="0" w:color="auto"/>
          </w:divBdr>
        </w:div>
        <w:div w:id="126049479">
          <w:marLeft w:val="0"/>
          <w:marRight w:val="0"/>
          <w:marTop w:val="0"/>
          <w:marBottom w:val="0"/>
          <w:divBdr>
            <w:top w:val="none" w:sz="0" w:space="0" w:color="auto"/>
            <w:left w:val="none" w:sz="0" w:space="0" w:color="auto"/>
            <w:bottom w:val="none" w:sz="0" w:space="0" w:color="auto"/>
            <w:right w:val="none" w:sz="0" w:space="0" w:color="auto"/>
          </w:divBdr>
        </w:div>
        <w:div w:id="1520197725">
          <w:marLeft w:val="0"/>
          <w:marRight w:val="0"/>
          <w:marTop w:val="0"/>
          <w:marBottom w:val="0"/>
          <w:divBdr>
            <w:top w:val="none" w:sz="0" w:space="0" w:color="auto"/>
            <w:left w:val="none" w:sz="0" w:space="0" w:color="auto"/>
            <w:bottom w:val="none" w:sz="0" w:space="0" w:color="auto"/>
            <w:right w:val="none" w:sz="0" w:space="0" w:color="auto"/>
          </w:divBdr>
        </w:div>
        <w:div w:id="2025352845">
          <w:marLeft w:val="0"/>
          <w:marRight w:val="0"/>
          <w:marTop w:val="0"/>
          <w:marBottom w:val="0"/>
          <w:divBdr>
            <w:top w:val="none" w:sz="0" w:space="0" w:color="auto"/>
            <w:left w:val="none" w:sz="0" w:space="0" w:color="auto"/>
            <w:bottom w:val="none" w:sz="0" w:space="0" w:color="auto"/>
            <w:right w:val="none" w:sz="0" w:space="0" w:color="auto"/>
          </w:divBdr>
        </w:div>
        <w:div w:id="1227183046">
          <w:marLeft w:val="0"/>
          <w:marRight w:val="0"/>
          <w:marTop w:val="0"/>
          <w:marBottom w:val="0"/>
          <w:divBdr>
            <w:top w:val="none" w:sz="0" w:space="0" w:color="auto"/>
            <w:left w:val="none" w:sz="0" w:space="0" w:color="auto"/>
            <w:bottom w:val="none" w:sz="0" w:space="0" w:color="auto"/>
            <w:right w:val="none" w:sz="0" w:space="0" w:color="auto"/>
          </w:divBdr>
        </w:div>
        <w:div w:id="82722301">
          <w:marLeft w:val="0"/>
          <w:marRight w:val="0"/>
          <w:marTop w:val="0"/>
          <w:marBottom w:val="0"/>
          <w:divBdr>
            <w:top w:val="none" w:sz="0" w:space="0" w:color="auto"/>
            <w:left w:val="none" w:sz="0" w:space="0" w:color="auto"/>
            <w:bottom w:val="none" w:sz="0" w:space="0" w:color="auto"/>
            <w:right w:val="none" w:sz="0" w:space="0" w:color="auto"/>
          </w:divBdr>
        </w:div>
        <w:div w:id="651371084">
          <w:marLeft w:val="0"/>
          <w:marRight w:val="0"/>
          <w:marTop w:val="0"/>
          <w:marBottom w:val="0"/>
          <w:divBdr>
            <w:top w:val="none" w:sz="0" w:space="0" w:color="auto"/>
            <w:left w:val="none" w:sz="0" w:space="0" w:color="auto"/>
            <w:bottom w:val="none" w:sz="0" w:space="0" w:color="auto"/>
            <w:right w:val="none" w:sz="0" w:space="0" w:color="auto"/>
          </w:divBdr>
        </w:div>
        <w:div w:id="1606380583">
          <w:marLeft w:val="0"/>
          <w:marRight w:val="0"/>
          <w:marTop w:val="0"/>
          <w:marBottom w:val="0"/>
          <w:divBdr>
            <w:top w:val="none" w:sz="0" w:space="0" w:color="auto"/>
            <w:left w:val="none" w:sz="0" w:space="0" w:color="auto"/>
            <w:bottom w:val="none" w:sz="0" w:space="0" w:color="auto"/>
            <w:right w:val="none" w:sz="0" w:space="0" w:color="auto"/>
          </w:divBdr>
        </w:div>
        <w:div w:id="1230119880">
          <w:marLeft w:val="0"/>
          <w:marRight w:val="0"/>
          <w:marTop w:val="0"/>
          <w:marBottom w:val="0"/>
          <w:divBdr>
            <w:top w:val="none" w:sz="0" w:space="0" w:color="auto"/>
            <w:left w:val="none" w:sz="0" w:space="0" w:color="auto"/>
            <w:bottom w:val="none" w:sz="0" w:space="0" w:color="auto"/>
            <w:right w:val="none" w:sz="0" w:space="0" w:color="auto"/>
          </w:divBdr>
        </w:div>
        <w:div w:id="1111976664">
          <w:marLeft w:val="0"/>
          <w:marRight w:val="0"/>
          <w:marTop w:val="0"/>
          <w:marBottom w:val="0"/>
          <w:divBdr>
            <w:top w:val="none" w:sz="0" w:space="0" w:color="auto"/>
            <w:left w:val="none" w:sz="0" w:space="0" w:color="auto"/>
            <w:bottom w:val="none" w:sz="0" w:space="0" w:color="auto"/>
            <w:right w:val="none" w:sz="0" w:space="0" w:color="auto"/>
          </w:divBdr>
        </w:div>
        <w:div w:id="366413052">
          <w:marLeft w:val="0"/>
          <w:marRight w:val="0"/>
          <w:marTop w:val="0"/>
          <w:marBottom w:val="0"/>
          <w:divBdr>
            <w:top w:val="none" w:sz="0" w:space="0" w:color="auto"/>
            <w:left w:val="none" w:sz="0" w:space="0" w:color="auto"/>
            <w:bottom w:val="none" w:sz="0" w:space="0" w:color="auto"/>
            <w:right w:val="none" w:sz="0" w:space="0" w:color="auto"/>
          </w:divBdr>
        </w:div>
        <w:div w:id="1047417844">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237588128">
          <w:marLeft w:val="0"/>
          <w:marRight w:val="0"/>
          <w:marTop w:val="0"/>
          <w:marBottom w:val="0"/>
          <w:divBdr>
            <w:top w:val="none" w:sz="0" w:space="0" w:color="auto"/>
            <w:left w:val="none" w:sz="0" w:space="0" w:color="auto"/>
            <w:bottom w:val="none" w:sz="0" w:space="0" w:color="auto"/>
            <w:right w:val="none" w:sz="0" w:space="0" w:color="auto"/>
          </w:divBdr>
        </w:div>
        <w:div w:id="1117145362">
          <w:marLeft w:val="0"/>
          <w:marRight w:val="0"/>
          <w:marTop w:val="0"/>
          <w:marBottom w:val="0"/>
          <w:divBdr>
            <w:top w:val="none" w:sz="0" w:space="0" w:color="auto"/>
            <w:left w:val="none" w:sz="0" w:space="0" w:color="auto"/>
            <w:bottom w:val="none" w:sz="0" w:space="0" w:color="auto"/>
            <w:right w:val="none" w:sz="0" w:space="0" w:color="auto"/>
          </w:divBdr>
        </w:div>
        <w:div w:id="1110782246">
          <w:marLeft w:val="0"/>
          <w:marRight w:val="0"/>
          <w:marTop w:val="0"/>
          <w:marBottom w:val="0"/>
          <w:divBdr>
            <w:top w:val="none" w:sz="0" w:space="0" w:color="auto"/>
            <w:left w:val="none" w:sz="0" w:space="0" w:color="auto"/>
            <w:bottom w:val="none" w:sz="0" w:space="0" w:color="auto"/>
            <w:right w:val="none" w:sz="0" w:space="0" w:color="auto"/>
          </w:divBdr>
        </w:div>
        <w:div w:id="198668276">
          <w:marLeft w:val="0"/>
          <w:marRight w:val="0"/>
          <w:marTop w:val="0"/>
          <w:marBottom w:val="0"/>
          <w:divBdr>
            <w:top w:val="none" w:sz="0" w:space="0" w:color="auto"/>
            <w:left w:val="none" w:sz="0" w:space="0" w:color="auto"/>
            <w:bottom w:val="none" w:sz="0" w:space="0" w:color="auto"/>
            <w:right w:val="none" w:sz="0" w:space="0" w:color="auto"/>
          </w:divBdr>
        </w:div>
        <w:div w:id="2137334151">
          <w:marLeft w:val="0"/>
          <w:marRight w:val="0"/>
          <w:marTop w:val="0"/>
          <w:marBottom w:val="0"/>
          <w:divBdr>
            <w:top w:val="none" w:sz="0" w:space="0" w:color="auto"/>
            <w:left w:val="none" w:sz="0" w:space="0" w:color="auto"/>
            <w:bottom w:val="none" w:sz="0" w:space="0" w:color="auto"/>
            <w:right w:val="none" w:sz="0" w:space="0" w:color="auto"/>
          </w:divBdr>
        </w:div>
        <w:div w:id="1165319816">
          <w:marLeft w:val="0"/>
          <w:marRight w:val="0"/>
          <w:marTop w:val="0"/>
          <w:marBottom w:val="0"/>
          <w:divBdr>
            <w:top w:val="none" w:sz="0" w:space="0" w:color="auto"/>
            <w:left w:val="none" w:sz="0" w:space="0" w:color="auto"/>
            <w:bottom w:val="none" w:sz="0" w:space="0" w:color="auto"/>
            <w:right w:val="none" w:sz="0" w:space="0" w:color="auto"/>
          </w:divBdr>
        </w:div>
        <w:div w:id="690028820">
          <w:marLeft w:val="0"/>
          <w:marRight w:val="0"/>
          <w:marTop w:val="0"/>
          <w:marBottom w:val="0"/>
          <w:divBdr>
            <w:top w:val="none" w:sz="0" w:space="0" w:color="auto"/>
            <w:left w:val="none" w:sz="0" w:space="0" w:color="auto"/>
            <w:bottom w:val="none" w:sz="0" w:space="0" w:color="auto"/>
            <w:right w:val="none" w:sz="0" w:space="0" w:color="auto"/>
          </w:divBdr>
        </w:div>
        <w:div w:id="1799837022">
          <w:marLeft w:val="0"/>
          <w:marRight w:val="0"/>
          <w:marTop w:val="0"/>
          <w:marBottom w:val="0"/>
          <w:divBdr>
            <w:top w:val="none" w:sz="0" w:space="0" w:color="auto"/>
            <w:left w:val="none" w:sz="0" w:space="0" w:color="auto"/>
            <w:bottom w:val="none" w:sz="0" w:space="0" w:color="auto"/>
            <w:right w:val="none" w:sz="0" w:space="0" w:color="auto"/>
          </w:divBdr>
        </w:div>
        <w:div w:id="390538165">
          <w:marLeft w:val="0"/>
          <w:marRight w:val="0"/>
          <w:marTop w:val="0"/>
          <w:marBottom w:val="0"/>
          <w:divBdr>
            <w:top w:val="none" w:sz="0" w:space="0" w:color="auto"/>
            <w:left w:val="none" w:sz="0" w:space="0" w:color="auto"/>
            <w:bottom w:val="none" w:sz="0" w:space="0" w:color="auto"/>
            <w:right w:val="none" w:sz="0" w:space="0" w:color="auto"/>
          </w:divBdr>
        </w:div>
        <w:div w:id="1507208955">
          <w:marLeft w:val="0"/>
          <w:marRight w:val="0"/>
          <w:marTop w:val="0"/>
          <w:marBottom w:val="0"/>
          <w:divBdr>
            <w:top w:val="none" w:sz="0" w:space="0" w:color="auto"/>
            <w:left w:val="none" w:sz="0" w:space="0" w:color="auto"/>
            <w:bottom w:val="none" w:sz="0" w:space="0" w:color="auto"/>
            <w:right w:val="none" w:sz="0" w:space="0" w:color="auto"/>
          </w:divBdr>
        </w:div>
        <w:div w:id="1873228412">
          <w:marLeft w:val="0"/>
          <w:marRight w:val="0"/>
          <w:marTop w:val="0"/>
          <w:marBottom w:val="0"/>
          <w:divBdr>
            <w:top w:val="none" w:sz="0" w:space="0" w:color="auto"/>
            <w:left w:val="none" w:sz="0" w:space="0" w:color="auto"/>
            <w:bottom w:val="none" w:sz="0" w:space="0" w:color="auto"/>
            <w:right w:val="none" w:sz="0" w:space="0" w:color="auto"/>
          </w:divBdr>
        </w:div>
        <w:div w:id="1381392695">
          <w:marLeft w:val="0"/>
          <w:marRight w:val="0"/>
          <w:marTop w:val="0"/>
          <w:marBottom w:val="0"/>
          <w:divBdr>
            <w:top w:val="none" w:sz="0" w:space="0" w:color="auto"/>
            <w:left w:val="none" w:sz="0" w:space="0" w:color="auto"/>
            <w:bottom w:val="none" w:sz="0" w:space="0" w:color="auto"/>
            <w:right w:val="none" w:sz="0" w:space="0" w:color="auto"/>
          </w:divBdr>
        </w:div>
        <w:div w:id="398133229">
          <w:marLeft w:val="0"/>
          <w:marRight w:val="0"/>
          <w:marTop w:val="0"/>
          <w:marBottom w:val="0"/>
          <w:divBdr>
            <w:top w:val="none" w:sz="0" w:space="0" w:color="auto"/>
            <w:left w:val="none" w:sz="0" w:space="0" w:color="auto"/>
            <w:bottom w:val="none" w:sz="0" w:space="0" w:color="auto"/>
            <w:right w:val="none" w:sz="0" w:space="0" w:color="auto"/>
          </w:divBdr>
        </w:div>
        <w:div w:id="718475860">
          <w:marLeft w:val="0"/>
          <w:marRight w:val="0"/>
          <w:marTop w:val="0"/>
          <w:marBottom w:val="0"/>
          <w:divBdr>
            <w:top w:val="none" w:sz="0" w:space="0" w:color="auto"/>
            <w:left w:val="none" w:sz="0" w:space="0" w:color="auto"/>
            <w:bottom w:val="none" w:sz="0" w:space="0" w:color="auto"/>
            <w:right w:val="none" w:sz="0" w:space="0" w:color="auto"/>
          </w:divBdr>
        </w:div>
        <w:div w:id="676152720">
          <w:marLeft w:val="0"/>
          <w:marRight w:val="0"/>
          <w:marTop w:val="0"/>
          <w:marBottom w:val="0"/>
          <w:divBdr>
            <w:top w:val="none" w:sz="0" w:space="0" w:color="auto"/>
            <w:left w:val="none" w:sz="0" w:space="0" w:color="auto"/>
            <w:bottom w:val="none" w:sz="0" w:space="0" w:color="auto"/>
            <w:right w:val="none" w:sz="0" w:space="0" w:color="auto"/>
          </w:divBdr>
        </w:div>
        <w:div w:id="1316450924">
          <w:marLeft w:val="0"/>
          <w:marRight w:val="0"/>
          <w:marTop w:val="0"/>
          <w:marBottom w:val="0"/>
          <w:divBdr>
            <w:top w:val="none" w:sz="0" w:space="0" w:color="auto"/>
            <w:left w:val="none" w:sz="0" w:space="0" w:color="auto"/>
            <w:bottom w:val="none" w:sz="0" w:space="0" w:color="auto"/>
            <w:right w:val="none" w:sz="0" w:space="0" w:color="auto"/>
          </w:divBdr>
        </w:div>
        <w:div w:id="1381590795">
          <w:marLeft w:val="0"/>
          <w:marRight w:val="0"/>
          <w:marTop w:val="0"/>
          <w:marBottom w:val="0"/>
          <w:divBdr>
            <w:top w:val="none" w:sz="0" w:space="0" w:color="auto"/>
            <w:left w:val="none" w:sz="0" w:space="0" w:color="auto"/>
            <w:bottom w:val="none" w:sz="0" w:space="0" w:color="auto"/>
            <w:right w:val="none" w:sz="0" w:space="0" w:color="auto"/>
          </w:divBdr>
        </w:div>
        <w:div w:id="828330389">
          <w:marLeft w:val="0"/>
          <w:marRight w:val="0"/>
          <w:marTop w:val="0"/>
          <w:marBottom w:val="0"/>
          <w:divBdr>
            <w:top w:val="none" w:sz="0" w:space="0" w:color="auto"/>
            <w:left w:val="none" w:sz="0" w:space="0" w:color="auto"/>
            <w:bottom w:val="none" w:sz="0" w:space="0" w:color="auto"/>
            <w:right w:val="none" w:sz="0" w:space="0" w:color="auto"/>
          </w:divBdr>
        </w:div>
        <w:div w:id="1501895972">
          <w:marLeft w:val="0"/>
          <w:marRight w:val="0"/>
          <w:marTop w:val="0"/>
          <w:marBottom w:val="0"/>
          <w:divBdr>
            <w:top w:val="none" w:sz="0" w:space="0" w:color="auto"/>
            <w:left w:val="none" w:sz="0" w:space="0" w:color="auto"/>
            <w:bottom w:val="none" w:sz="0" w:space="0" w:color="auto"/>
            <w:right w:val="none" w:sz="0" w:space="0" w:color="auto"/>
          </w:divBdr>
        </w:div>
        <w:div w:id="35013864">
          <w:marLeft w:val="0"/>
          <w:marRight w:val="0"/>
          <w:marTop w:val="0"/>
          <w:marBottom w:val="0"/>
          <w:divBdr>
            <w:top w:val="none" w:sz="0" w:space="0" w:color="auto"/>
            <w:left w:val="none" w:sz="0" w:space="0" w:color="auto"/>
            <w:bottom w:val="none" w:sz="0" w:space="0" w:color="auto"/>
            <w:right w:val="none" w:sz="0" w:space="0" w:color="auto"/>
          </w:divBdr>
        </w:div>
        <w:div w:id="545609147">
          <w:marLeft w:val="0"/>
          <w:marRight w:val="0"/>
          <w:marTop w:val="0"/>
          <w:marBottom w:val="0"/>
          <w:divBdr>
            <w:top w:val="none" w:sz="0" w:space="0" w:color="auto"/>
            <w:left w:val="none" w:sz="0" w:space="0" w:color="auto"/>
            <w:bottom w:val="none" w:sz="0" w:space="0" w:color="auto"/>
            <w:right w:val="none" w:sz="0" w:space="0" w:color="auto"/>
          </w:divBdr>
        </w:div>
        <w:div w:id="2098092486">
          <w:marLeft w:val="0"/>
          <w:marRight w:val="0"/>
          <w:marTop w:val="0"/>
          <w:marBottom w:val="0"/>
          <w:divBdr>
            <w:top w:val="none" w:sz="0" w:space="0" w:color="auto"/>
            <w:left w:val="none" w:sz="0" w:space="0" w:color="auto"/>
            <w:bottom w:val="none" w:sz="0" w:space="0" w:color="auto"/>
            <w:right w:val="none" w:sz="0" w:space="0" w:color="auto"/>
          </w:divBdr>
        </w:div>
        <w:div w:id="527910090">
          <w:marLeft w:val="0"/>
          <w:marRight w:val="0"/>
          <w:marTop w:val="0"/>
          <w:marBottom w:val="0"/>
          <w:divBdr>
            <w:top w:val="none" w:sz="0" w:space="0" w:color="auto"/>
            <w:left w:val="none" w:sz="0" w:space="0" w:color="auto"/>
            <w:bottom w:val="none" w:sz="0" w:space="0" w:color="auto"/>
            <w:right w:val="none" w:sz="0" w:space="0" w:color="auto"/>
          </w:divBdr>
        </w:div>
        <w:div w:id="173805880">
          <w:marLeft w:val="0"/>
          <w:marRight w:val="0"/>
          <w:marTop w:val="0"/>
          <w:marBottom w:val="0"/>
          <w:divBdr>
            <w:top w:val="none" w:sz="0" w:space="0" w:color="auto"/>
            <w:left w:val="none" w:sz="0" w:space="0" w:color="auto"/>
            <w:bottom w:val="none" w:sz="0" w:space="0" w:color="auto"/>
            <w:right w:val="none" w:sz="0" w:space="0" w:color="auto"/>
          </w:divBdr>
        </w:div>
        <w:div w:id="565456494">
          <w:marLeft w:val="0"/>
          <w:marRight w:val="0"/>
          <w:marTop w:val="0"/>
          <w:marBottom w:val="0"/>
          <w:divBdr>
            <w:top w:val="none" w:sz="0" w:space="0" w:color="auto"/>
            <w:left w:val="none" w:sz="0" w:space="0" w:color="auto"/>
            <w:bottom w:val="none" w:sz="0" w:space="0" w:color="auto"/>
            <w:right w:val="none" w:sz="0" w:space="0" w:color="auto"/>
          </w:divBdr>
        </w:div>
        <w:div w:id="1522278415">
          <w:marLeft w:val="0"/>
          <w:marRight w:val="0"/>
          <w:marTop w:val="0"/>
          <w:marBottom w:val="0"/>
          <w:divBdr>
            <w:top w:val="none" w:sz="0" w:space="0" w:color="auto"/>
            <w:left w:val="none" w:sz="0" w:space="0" w:color="auto"/>
            <w:bottom w:val="none" w:sz="0" w:space="0" w:color="auto"/>
            <w:right w:val="none" w:sz="0" w:space="0" w:color="auto"/>
          </w:divBdr>
        </w:div>
        <w:div w:id="36272917">
          <w:marLeft w:val="0"/>
          <w:marRight w:val="0"/>
          <w:marTop w:val="0"/>
          <w:marBottom w:val="0"/>
          <w:divBdr>
            <w:top w:val="none" w:sz="0" w:space="0" w:color="auto"/>
            <w:left w:val="none" w:sz="0" w:space="0" w:color="auto"/>
            <w:bottom w:val="none" w:sz="0" w:space="0" w:color="auto"/>
            <w:right w:val="none" w:sz="0" w:space="0" w:color="auto"/>
          </w:divBdr>
        </w:div>
        <w:div w:id="2121297699">
          <w:marLeft w:val="0"/>
          <w:marRight w:val="0"/>
          <w:marTop w:val="0"/>
          <w:marBottom w:val="0"/>
          <w:divBdr>
            <w:top w:val="none" w:sz="0" w:space="0" w:color="auto"/>
            <w:left w:val="none" w:sz="0" w:space="0" w:color="auto"/>
            <w:bottom w:val="none" w:sz="0" w:space="0" w:color="auto"/>
            <w:right w:val="none" w:sz="0" w:space="0" w:color="auto"/>
          </w:divBdr>
        </w:div>
        <w:div w:id="763962351">
          <w:marLeft w:val="0"/>
          <w:marRight w:val="0"/>
          <w:marTop w:val="0"/>
          <w:marBottom w:val="0"/>
          <w:divBdr>
            <w:top w:val="none" w:sz="0" w:space="0" w:color="auto"/>
            <w:left w:val="none" w:sz="0" w:space="0" w:color="auto"/>
            <w:bottom w:val="none" w:sz="0" w:space="0" w:color="auto"/>
            <w:right w:val="none" w:sz="0" w:space="0" w:color="auto"/>
          </w:divBdr>
        </w:div>
        <w:div w:id="448276702">
          <w:marLeft w:val="0"/>
          <w:marRight w:val="0"/>
          <w:marTop w:val="0"/>
          <w:marBottom w:val="0"/>
          <w:divBdr>
            <w:top w:val="none" w:sz="0" w:space="0" w:color="auto"/>
            <w:left w:val="none" w:sz="0" w:space="0" w:color="auto"/>
            <w:bottom w:val="none" w:sz="0" w:space="0" w:color="auto"/>
            <w:right w:val="none" w:sz="0" w:space="0" w:color="auto"/>
          </w:divBdr>
        </w:div>
        <w:div w:id="1876455033">
          <w:marLeft w:val="0"/>
          <w:marRight w:val="0"/>
          <w:marTop w:val="0"/>
          <w:marBottom w:val="0"/>
          <w:divBdr>
            <w:top w:val="none" w:sz="0" w:space="0" w:color="auto"/>
            <w:left w:val="none" w:sz="0" w:space="0" w:color="auto"/>
            <w:bottom w:val="none" w:sz="0" w:space="0" w:color="auto"/>
            <w:right w:val="none" w:sz="0" w:space="0" w:color="auto"/>
          </w:divBdr>
        </w:div>
        <w:div w:id="1023091565">
          <w:marLeft w:val="0"/>
          <w:marRight w:val="0"/>
          <w:marTop w:val="0"/>
          <w:marBottom w:val="0"/>
          <w:divBdr>
            <w:top w:val="none" w:sz="0" w:space="0" w:color="auto"/>
            <w:left w:val="none" w:sz="0" w:space="0" w:color="auto"/>
            <w:bottom w:val="none" w:sz="0" w:space="0" w:color="auto"/>
            <w:right w:val="none" w:sz="0" w:space="0" w:color="auto"/>
          </w:divBdr>
        </w:div>
        <w:div w:id="822045859">
          <w:marLeft w:val="0"/>
          <w:marRight w:val="0"/>
          <w:marTop w:val="0"/>
          <w:marBottom w:val="0"/>
          <w:divBdr>
            <w:top w:val="none" w:sz="0" w:space="0" w:color="auto"/>
            <w:left w:val="none" w:sz="0" w:space="0" w:color="auto"/>
            <w:bottom w:val="none" w:sz="0" w:space="0" w:color="auto"/>
            <w:right w:val="none" w:sz="0" w:space="0" w:color="auto"/>
          </w:divBdr>
        </w:div>
        <w:div w:id="1144468782">
          <w:marLeft w:val="0"/>
          <w:marRight w:val="0"/>
          <w:marTop w:val="0"/>
          <w:marBottom w:val="0"/>
          <w:divBdr>
            <w:top w:val="none" w:sz="0" w:space="0" w:color="auto"/>
            <w:left w:val="none" w:sz="0" w:space="0" w:color="auto"/>
            <w:bottom w:val="none" w:sz="0" w:space="0" w:color="auto"/>
            <w:right w:val="none" w:sz="0" w:space="0" w:color="auto"/>
          </w:divBdr>
        </w:div>
        <w:div w:id="841627206">
          <w:marLeft w:val="0"/>
          <w:marRight w:val="0"/>
          <w:marTop w:val="0"/>
          <w:marBottom w:val="0"/>
          <w:divBdr>
            <w:top w:val="none" w:sz="0" w:space="0" w:color="auto"/>
            <w:left w:val="none" w:sz="0" w:space="0" w:color="auto"/>
            <w:bottom w:val="none" w:sz="0" w:space="0" w:color="auto"/>
            <w:right w:val="none" w:sz="0" w:space="0" w:color="auto"/>
          </w:divBdr>
        </w:div>
        <w:div w:id="961807546">
          <w:marLeft w:val="0"/>
          <w:marRight w:val="0"/>
          <w:marTop w:val="0"/>
          <w:marBottom w:val="0"/>
          <w:divBdr>
            <w:top w:val="none" w:sz="0" w:space="0" w:color="auto"/>
            <w:left w:val="none" w:sz="0" w:space="0" w:color="auto"/>
            <w:bottom w:val="none" w:sz="0" w:space="0" w:color="auto"/>
            <w:right w:val="none" w:sz="0" w:space="0" w:color="auto"/>
          </w:divBdr>
        </w:div>
        <w:div w:id="1778868138">
          <w:marLeft w:val="0"/>
          <w:marRight w:val="0"/>
          <w:marTop w:val="0"/>
          <w:marBottom w:val="0"/>
          <w:divBdr>
            <w:top w:val="none" w:sz="0" w:space="0" w:color="auto"/>
            <w:left w:val="none" w:sz="0" w:space="0" w:color="auto"/>
            <w:bottom w:val="none" w:sz="0" w:space="0" w:color="auto"/>
            <w:right w:val="none" w:sz="0" w:space="0" w:color="auto"/>
          </w:divBdr>
        </w:div>
        <w:div w:id="769860694">
          <w:marLeft w:val="0"/>
          <w:marRight w:val="0"/>
          <w:marTop w:val="0"/>
          <w:marBottom w:val="0"/>
          <w:divBdr>
            <w:top w:val="none" w:sz="0" w:space="0" w:color="auto"/>
            <w:left w:val="none" w:sz="0" w:space="0" w:color="auto"/>
            <w:bottom w:val="none" w:sz="0" w:space="0" w:color="auto"/>
            <w:right w:val="none" w:sz="0" w:space="0" w:color="auto"/>
          </w:divBdr>
        </w:div>
        <w:div w:id="107969512">
          <w:marLeft w:val="0"/>
          <w:marRight w:val="0"/>
          <w:marTop w:val="0"/>
          <w:marBottom w:val="0"/>
          <w:divBdr>
            <w:top w:val="none" w:sz="0" w:space="0" w:color="auto"/>
            <w:left w:val="none" w:sz="0" w:space="0" w:color="auto"/>
            <w:bottom w:val="none" w:sz="0" w:space="0" w:color="auto"/>
            <w:right w:val="none" w:sz="0" w:space="0" w:color="auto"/>
          </w:divBdr>
        </w:div>
        <w:div w:id="315031798">
          <w:marLeft w:val="0"/>
          <w:marRight w:val="0"/>
          <w:marTop w:val="0"/>
          <w:marBottom w:val="0"/>
          <w:divBdr>
            <w:top w:val="none" w:sz="0" w:space="0" w:color="auto"/>
            <w:left w:val="none" w:sz="0" w:space="0" w:color="auto"/>
            <w:bottom w:val="none" w:sz="0" w:space="0" w:color="auto"/>
            <w:right w:val="none" w:sz="0" w:space="0" w:color="auto"/>
          </w:divBdr>
        </w:div>
        <w:div w:id="1938173359">
          <w:marLeft w:val="0"/>
          <w:marRight w:val="0"/>
          <w:marTop w:val="0"/>
          <w:marBottom w:val="0"/>
          <w:divBdr>
            <w:top w:val="none" w:sz="0" w:space="0" w:color="auto"/>
            <w:left w:val="none" w:sz="0" w:space="0" w:color="auto"/>
            <w:bottom w:val="none" w:sz="0" w:space="0" w:color="auto"/>
            <w:right w:val="none" w:sz="0" w:space="0" w:color="auto"/>
          </w:divBdr>
        </w:div>
        <w:div w:id="403533587">
          <w:marLeft w:val="0"/>
          <w:marRight w:val="0"/>
          <w:marTop w:val="0"/>
          <w:marBottom w:val="0"/>
          <w:divBdr>
            <w:top w:val="none" w:sz="0" w:space="0" w:color="auto"/>
            <w:left w:val="none" w:sz="0" w:space="0" w:color="auto"/>
            <w:bottom w:val="none" w:sz="0" w:space="0" w:color="auto"/>
            <w:right w:val="none" w:sz="0" w:space="0" w:color="auto"/>
          </w:divBdr>
        </w:div>
        <w:div w:id="1465006953">
          <w:marLeft w:val="0"/>
          <w:marRight w:val="0"/>
          <w:marTop w:val="0"/>
          <w:marBottom w:val="0"/>
          <w:divBdr>
            <w:top w:val="none" w:sz="0" w:space="0" w:color="auto"/>
            <w:left w:val="none" w:sz="0" w:space="0" w:color="auto"/>
            <w:bottom w:val="none" w:sz="0" w:space="0" w:color="auto"/>
            <w:right w:val="none" w:sz="0" w:space="0" w:color="auto"/>
          </w:divBdr>
        </w:div>
        <w:div w:id="1024939719">
          <w:marLeft w:val="0"/>
          <w:marRight w:val="0"/>
          <w:marTop w:val="0"/>
          <w:marBottom w:val="0"/>
          <w:divBdr>
            <w:top w:val="none" w:sz="0" w:space="0" w:color="auto"/>
            <w:left w:val="none" w:sz="0" w:space="0" w:color="auto"/>
            <w:bottom w:val="none" w:sz="0" w:space="0" w:color="auto"/>
            <w:right w:val="none" w:sz="0" w:space="0" w:color="auto"/>
          </w:divBdr>
        </w:div>
        <w:div w:id="937326222">
          <w:marLeft w:val="0"/>
          <w:marRight w:val="0"/>
          <w:marTop w:val="0"/>
          <w:marBottom w:val="0"/>
          <w:divBdr>
            <w:top w:val="none" w:sz="0" w:space="0" w:color="auto"/>
            <w:left w:val="none" w:sz="0" w:space="0" w:color="auto"/>
            <w:bottom w:val="none" w:sz="0" w:space="0" w:color="auto"/>
            <w:right w:val="none" w:sz="0" w:space="0" w:color="auto"/>
          </w:divBdr>
        </w:div>
        <w:div w:id="1369842393">
          <w:marLeft w:val="0"/>
          <w:marRight w:val="0"/>
          <w:marTop w:val="0"/>
          <w:marBottom w:val="0"/>
          <w:divBdr>
            <w:top w:val="none" w:sz="0" w:space="0" w:color="auto"/>
            <w:left w:val="none" w:sz="0" w:space="0" w:color="auto"/>
            <w:bottom w:val="none" w:sz="0" w:space="0" w:color="auto"/>
            <w:right w:val="none" w:sz="0" w:space="0" w:color="auto"/>
          </w:divBdr>
        </w:div>
        <w:div w:id="1817380665">
          <w:marLeft w:val="0"/>
          <w:marRight w:val="0"/>
          <w:marTop w:val="0"/>
          <w:marBottom w:val="0"/>
          <w:divBdr>
            <w:top w:val="none" w:sz="0" w:space="0" w:color="auto"/>
            <w:left w:val="none" w:sz="0" w:space="0" w:color="auto"/>
            <w:bottom w:val="none" w:sz="0" w:space="0" w:color="auto"/>
            <w:right w:val="none" w:sz="0" w:space="0" w:color="auto"/>
          </w:divBdr>
        </w:div>
        <w:div w:id="681128676">
          <w:marLeft w:val="0"/>
          <w:marRight w:val="0"/>
          <w:marTop w:val="0"/>
          <w:marBottom w:val="0"/>
          <w:divBdr>
            <w:top w:val="none" w:sz="0" w:space="0" w:color="auto"/>
            <w:left w:val="none" w:sz="0" w:space="0" w:color="auto"/>
            <w:bottom w:val="none" w:sz="0" w:space="0" w:color="auto"/>
            <w:right w:val="none" w:sz="0" w:space="0" w:color="auto"/>
          </w:divBdr>
        </w:div>
        <w:div w:id="1507475866">
          <w:marLeft w:val="0"/>
          <w:marRight w:val="0"/>
          <w:marTop w:val="0"/>
          <w:marBottom w:val="0"/>
          <w:divBdr>
            <w:top w:val="none" w:sz="0" w:space="0" w:color="auto"/>
            <w:left w:val="none" w:sz="0" w:space="0" w:color="auto"/>
            <w:bottom w:val="none" w:sz="0" w:space="0" w:color="auto"/>
            <w:right w:val="none" w:sz="0" w:space="0" w:color="auto"/>
          </w:divBdr>
        </w:div>
        <w:div w:id="1451850821">
          <w:marLeft w:val="0"/>
          <w:marRight w:val="0"/>
          <w:marTop w:val="0"/>
          <w:marBottom w:val="0"/>
          <w:divBdr>
            <w:top w:val="none" w:sz="0" w:space="0" w:color="auto"/>
            <w:left w:val="none" w:sz="0" w:space="0" w:color="auto"/>
            <w:bottom w:val="none" w:sz="0" w:space="0" w:color="auto"/>
            <w:right w:val="none" w:sz="0" w:space="0" w:color="auto"/>
          </w:divBdr>
        </w:div>
        <w:div w:id="542787140">
          <w:marLeft w:val="0"/>
          <w:marRight w:val="0"/>
          <w:marTop w:val="0"/>
          <w:marBottom w:val="0"/>
          <w:divBdr>
            <w:top w:val="none" w:sz="0" w:space="0" w:color="auto"/>
            <w:left w:val="none" w:sz="0" w:space="0" w:color="auto"/>
            <w:bottom w:val="none" w:sz="0" w:space="0" w:color="auto"/>
            <w:right w:val="none" w:sz="0" w:space="0" w:color="auto"/>
          </w:divBdr>
        </w:div>
        <w:div w:id="1185750150">
          <w:marLeft w:val="0"/>
          <w:marRight w:val="0"/>
          <w:marTop w:val="0"/>
          <w:marBottom w:val="0"/>
          <w:divBdr>
            <w:top w:val="none" w:sz="0" w:space="0" w:color="auto"/>
            <w:left w:val="none" w:sz="0" w:space="0" w:color="auto"/>
            <w:bottom w:val="none" w:sz="0" w:space="0" w:color="auto"/>
            <w:right w:val="none" w:sz="0" w:space="0" w:color="auto"/>
          </w:divBdr>
        </w:div>
        <w:div w:id="1157693983">
          <w:marLeft w:val="0"/>
          <w:marRight w:val="0"/>
          <w:marTop w:val="0"/>
          <w:marBottom w:val="0"/>
          <w:divBdr>
            <w:top w:val="none" w:sz="0" w:space="0" w:color="auto"/>
            <w:left w:val="none" w:sz="0" w:space="0" w:color="auto"/>
            <w:bottom w:val="none" w:sz="0" w:space="0" w:color="auto"/>
            <w:right w:val="none" w:sz="0" w:space="0" w:color="auto"/>
          </w:divBdr>
        </w:div>
        <w:div w:id="1525752312">
          <w:marLeft w:val="0"/>
          <w:marRight w:val="0"/>
          <w:marTop w:val="0"/>
          <w:marBottom w:val="0"/>
          <w:divBdr>
            <w:top w:val="none" w:sz="0" w:space="0" w:color="auto"/>
            <w:left w:val="none" w:sz="0" w:space="0" w:color="auto"/>
            <w:bottom w:val="none" w:sz="0" w:space="0" w:color="auto"/>
            <w:right w:val="none" w:sz="0" w:space="0" w:color="auto"/>
          </w:divBdr>
        </w:div>
        <w:div w:id="1248224692">
          <w:marLeft w:val="0"/>
          <w:marRight w:val="0"/>
          <w:marTop w:val="0"/>
          <w:marBottom w:val="0"/>
          <w:divBdr>
            <w:top w:val="none" w:sz="0" w:space="0" w:color="auto"/>
            <w:left w:val="none" w:sz="0" w:space="0" w:color="auto"/>
            <w:bottom w:val="none" w:sz="0" w:space="0" w:color="auto"/>
            <w:right w:val="none" w:sz="0" w:space="0" w:color="auto"/>
          </w:divBdr>
        </w:div>
        <w:div w:id="1269971882">
          <w:marLeft w:val="0"/>
          <w:marRight w:val="0"/>
          <w:marTop w:val="0"/>
          <w:marBottom w:val="0"/>
          <w:divBdr>
            <w:top w:val="none" w:sz="0" w:space="0" w:color="auto"/>
            <w:left w:val="none" w:sz="0" w:space="0" w:color="auto"/>
            <w:bottom w:val="none" w:sz="0" w:space="0" w:color="auto"/>
            <w:right w:val="none" w:sz="0" w:space="0" w:color="auto"/>
          </w:divBdr>
        </w:div>
        <w:div w:id="1993873640">
          <w:marLeft w:val="0"/>
          <w:marRight w:val="0"/>
          <w:marTop w:val="0"/>
          <w:marBottom w:val="0"/>
          <w:divBdr>
            <w:top w:val="none" w:sz="0" w:space="0" w:color="auto"/>
            <w:left w:val="none" w:sz="0" w:space="0" w:color="auto"/>
            <w:bottom w:val="none" w:sz="0" w:space="0" w:color="auto"/>
            <w:right w:val="none" w:sz="0" w:space="0" w:color="auto"/>
          </w:divBdr>
        </w:div>
        <w:div w:id="230238581">
          <w:marLeft w:val="0"/>
          <w:marRight w:val="0"/>
          <w:marTop w:val="0"/>
          <w:marBottom w:val="0"/>
          <w:divBdr>
            <w:top w:val="none" w:sz="0" w:space="0" w:color="auto"/>
            <w:left w:val="none" w:sz="0" w:space="0" w:color="auto"/>
            <w:bottom w:val="none" w:sz="0" w:space="0" w:color="auto"/>
            <w:right w:val="none" w:sz="0" w:space="0" w:color="auto"/>
          </w:divBdr>
        </w:div>
        <w:div w:id="331837948">
          <w:marLeft w:val="0"/>
          <w:marRight w:val="0"/>
          <w:marTop w:val="0"/>
          <w:marBottom w:val="0"/>
          <w:divBdr>
            <w:top w:val="none" w:sz="0" w:space="0" w:color="auto"/>
            <w:left w:val="none" w:sz="0" w:space="0" w:color="auto"/>
            <w:bottom w:val="none" w:sz="0" w:space="0" w:color="auto"/>
            <w:right w:val="none" w:sz="0" w:space="0" w:color="auto"/>
          </w:divBdr>
        </w:div>
        <w:div w:id="1962614260">
          <w:marLeft w:val="0"/>
          <w:marRight w:val="0"/>
          <w:marTop w:val="0"/>
          <w:marBottom w:val="0"/>
          <w:divBdr>
            <w:top w:val="none" w:sz="0" w:space="0" w:color="auto"/>
            <w:left w:val="none" w:sz="0" w:space="0" w:color="auto"/>
            <w:bottom w:val="none" w:sz="0" w:space="0" w:color="auto"/>
            <w:right w:val="none" w:sz="0" w:space="0" w:color="auto"/>
          </w:divBdr>
        </w:div>
        <w:div w:id="443618559">
          <w:marLeft w:val="0"/>
          <w:marRight w:val="0"/>
          <w:marTop w:val="0"/>
          <w:marBottom w:val="0"/>
          <w:divBdr>
            <w:top w:val="none" w:sz="0" w:space="0" w:color="auto"/>
            <w:left w:val="none" w:sz="0" w:space="0" w:color="auto"/>
            <w:bottom w:val="none" w:sz="0" w:space="0" w:color="auto"/>
            <w:right w:val="none" w:sz="0" w:space="0" w:color="auto"/>
          </w:divBdr>
        </w:div>
        <w:div w:id="158812471">
          <w:marLeft w:val="0"/>
          <w:marRight w:val="0"/>
          <w:marTop w:val="0"/>
          <w:marBottom w:val="0"/>
          <w:divBdr>
            <w:top w:val="none" w:sz="0" w:space="0" w:color="auto"/>
            <w:left w:val="none" w:sz="0" w:space="0" w:color="auto"/>
            <w:bottom w:val="none" w:sz="0" w:space="0" w:color="auto"/>
            <w:right w:val="none" w:sz="0" w:space="0" w:color="auto"/>
          </w:divBdr>
        </w:div>
        <w:div w:id="1323586087">
          <w:marLeft w:val="0"/>
          <w:marRight w:val="0"/>
          <w:marTop w:val="0"/>
          <w:marBottom w:val="0"/>
          <w:divBdr>
            <w:top w:val="none" w:sz="0" w:space="0" w:color="auto"/>
            <w:left w:val="none" w:sz="0" w:space="0" w:color="auto"/>
            <w:bottom w:val="none" w:sz="0" w:space="0" w:color="auto"/>
            <w:right w:val="none" w:sz="0" w:space="0" w:color="auto"/>
          </w:divBdr>
        </w:div>
        <w:div w:id="1110008245">
          <w:marLeft w:val="0"/>
          <w:marRight w:val="0"/>
          <w:marTop w:val="0"/>
          <w:marBottom w:val="0"/>
          <w:divBdr>
            <w:top w:val="none" w:sz="0" w:space="0" w:color="auto"/>
            <w:left w:val="none" w:sz="0" w:space="0" w:color="auto"/>
            <w:bottom w:val="none" w:sz="0" w:space="0" w:color="auto"/>
            <w:right w:val="none" w:sz="0" w:space="0" w:color="auto"/>
          </w:divBdr>
        </w:div>
        <w:div w:id="2132092663">
          <w:marLeft w:val="0"/>
          <w:marRight w:val="0"/>
          <w:marTop w:val="0"/>
          <w:marBottom w:val="0"/>
          <w:divBdr>
            <w:top w:val="none" w:sz="0" w:space="0" w:color="auto"/>
            <w:left w:val="none" w:sz="0" w:space="0" w:color="auto"/>
            <w:bottom w:val="none" w:sz="0" w:space="0" w:color="auto"/>
            <w:right w:val="none" w:sz="0" w:space="0" w:color="auto"/>
          </w:divBdr>
        </w:div>
        <w:div w:id="1539510850">
          <w:marLeft w:val="0"/>
          <w:marRight w:val="0"/>
          <w:marTop w:val="0"/>
          <w:marBottom w:val="0"/>
          <w:divBdr>
            <w:top w:val="none" w:sz="0" w:space="0" w:color="auto"/>
            <w:left w:val="none" w:sz="0" w:space="0" w:color="auto"/>
            <w:bottom w:val="none" w:sz="0" w:space="0" w:color="auto"/>
            <w:right w:val="none" w:sz="0" w:space="0" w:color="auto"/>
          </w:divBdr>
        </w:div>
        <w:div w:id="2069377289">
          <w:marLeft w:val="0"/>
          <w:marRight w:val="0"/>
          <w:marTop w:val="0"/>
          <w:marBottom w:val="0"/>
          <w:divBdr>
            <w:top w:val="none" w:sz="0" w:space="0" w:color="auto"/>
            <w:left w:val="none" w:sz="0" w:space="0" w:color="auto"/>
            <w:bottom w:val="none" w:sz="0" w:space="0" w:color="auto"/>
            <w:right w:val="none" w:sz="0" w:space="0" w:color="auto"/>
          </w:divBdr>
        </w:div>
        <w:div w:id="1127549206">
          <w:marLeft w:val="0"/>
          <w:marRight w:val="0"/>
          <w:marTop w:val="0"/>
          <w:marBottom w:val="0"/>
          <w:divBdr>
            <w:top w:val="none" w:sz="0" w:space="0" w:color="auto"/>
            <w:left w:val="none" w:sz="0" w:space="0" w:color="auto"/>
            <w:bottom w:val="none" w:sz="0" w:space="0" w:color="auto"/>
            <w:right w:val="none" w:sz="0" w:space="0" w:color="auto"/>
          </w:divBdr>
        </w:div>
        <w:div w:id="582757889">
          <w:marLeft w:val="0"/>
          <w:marRight w:val="0"/>
          <w:marTop w:val="0"/>
          <w:marBottom w:val="0"/>
          <w:divBdr>
            <w:top w:val="none" w:sz="0" w:space="0" w:color="auto"/>
            <w:left w:val="none" w:sz="0" w:space="0" w:color="auto"/>
            <w:bottom w:val="none" w:sz="0" w:space="0" w:color="auto"/>
            <w:right w:val="none" w:sz="0" w:space="0" w:color="auto"/>
          </w:divBdr>
        </w:div>
        <w:div w:id="74939956">
          <w:marLeft w:val="0"/>
          <w:marRight w:val="0"/>
          <w:marTop w:val="0"/>
          <w:marBottom w:val="0"/>
          <w:divBdr>
            <w:top w:val="none" w:sz="0" w:space="0" w:color="auto"/>
            <w:left w:val="none" w:sz="0" w:space="0" w:color="auto"/>
            <w:bottom w:val="none" w:sz="0" w:space="0" w:color="auto"/>
            <w:right w:val="none" w:sz="0" w:space="0" w:color="auto"/>
          </w:divBdr>
        </w:div>
        <w:div w:id="1313946192">
          <w:marLeft w:val="0"/>
          <w:marRight w:val="0"/>
          <w:marTop w:val="0"/>
          <w:marBottom w:val="0"/>
          <w:divBdr>
            <w:top w:val="none" w:sz="0" w:space="0" w:color="auto"/>
            <w:left w:val="none" w:sz="0" w:space="0" w:color="auto"/>
            <w:bottom w:val="none" w:sz="0" w:space="0" w:color="auto"/>
            <w:right w:val="none" w:sz="0" w:space="0" w:color="auto"/>
          </w:divBdr>
        </w:div>
        <w:div w:id="643511309">
          <w:marLeft w:val="0"/>
          <w:marRight w:val="0"/>
          <w:marTop w:val="0"/>
          <w:marBottom w:val="0"/>
          <w:divBdr>
            <w:top w:val="none" w:sz="0" w:space="0" w:color="auto"/>
            <w:left w:val="none" w:sz="0" w:space="0" w:color="auto"/>
            <w:bottom w:val="none" w:sz="0" w:space="0" w:color="auto"/>
            <w:right w:val="none" w:sz="0" w:space="0" w:color="auto"/>
          </w:divBdr>
        </w:div>
        <w:div w:id="1972051026">
          <w:marLeft w:val="0"/>
          <w:marRight w:val="0"/>
          <w:marTop w:val="0"/>
          <w:marBottom w:val="0"/>
          <w:divBdr>
            <w:top w:val="none" w:sz="0" w:space="0" w:color="auto"/>
            <w:left w:val="none" w:sz="0" w:space="0" w:color="auto"/>
            <w:bottom w:val="none" w:sz="0" w:space="0" w:color="auto"/>
            <w:right w:val="none" w:sz="0" w:space="0" w:color="auto"/>
          </w:divBdr>
        </w:div>
        <w:div w:id="78524893">
          <w:marLeft w:val="0"/>
          <w:marRight w:val="0"/>
          <w:marTop w:val="0"/>
          <w:marBottom w:val="0"/>
          <w:divBdr>
            <w:top w:val="none" w:sz="0" w:space="0" w:color="auto"/>
            <w:left w:val="none" w:sz="0" w:space="0" w:color="auto"/>
            <w:bottom w:val="none" w:sz="0" w:space="0" w:color="auto"/>
            <w:right w:val="none" w:sz="0" w:space="0" w:color="auto"/>
          </w:divBdr>
        </w:div>
        <w:div w:id="224951991">
          <w:marLeft w:val="0"/>
          <w:marRight w:val="0"/>
          <w:marTop w:val="0"/>
          <w:marBottom w:val="0"/>
          <w:divBdr>
            <w:top w:val="none" w:sz="0" w:space="0" w:color="auto"/>
            <w:left w:val="none" w:sz="0" w:space="0" w:color="auto"/>
            <w:bottom w:val="none" w:sz="0" w:space="0" w:color="auto"/>
            <w:right w:val="none" w:sz="0" w:space="0" w:color="auto"/>
          </w:divBdr>
        </w:div>
        <w:div w:id="1700887402">
          <w:marLeft w:val="0"/>
          <w:marRight w:val="0"/>
          <w:marTop w:val="0"/>
          <w:marBottom w:val="0"/>
          <w:divBdr>
            <w:top w:val="none" w:sz="0" w:space="0" w:color="auto"/>
            <w:left w:val="none" w:sz="0" w:space="0" w:color="auto"/>
            <w:bottom w:val="none" w:sz="0" w:space="0" w:color="auto"/>
            <w:right w:val="none" w:sz="0" w:space="0" w:color="auto"/>
          </w:divBdr>
        </w:div>
        <w:div w:id="1034816545">
          <w:marLeft w:val="0"/>
          <w:marRight w:val="0"/>
          <w:marTop w:val="0"/>
          <w:marBottom w:val="0"/>
          <w:divBdr>
            <w:top w:val="none" w:sz="0" w:space="0" w:color="auto"/>
            <w:left w:val="none" w:sz="0" w:space="0" w:color="auto"/>
            <w:bottom w:val="none" w:sz="0" w:space="0" w:color="auto"/>
            <w:right w:val="none" w:sz="0" w:space="0" w:color="auto"/>
          </w:divBdr>
        </w:div>
        <w:div w:id="1808467739">
          <w:marLeft w:val="0"/>
          <w:marRight w:val="0"/>
          <w:marTop w:val="0"/>
          <w:marBottom w:val="0"/>
          <w:divBdr>
            <w:top w:val="none" w:sz="0" w:space="0" w:color="auto"/>
            <w:left w:val="none" w:sz="0" w:space="0" w:color="auto"/>
            <w:bottom w:val="none" w:sz="0" w:space="0" w:color="auto"/>
            <w:right w:val="none" w:sz="0" w:space="0" w:color="auto"/>
          </w:divBdr>
        </w:div>
        <w:div w:id="780225135">
          <w:marLeft w:val="0"/>
          <w:marRight w:val="0"/>
          <w:marTop w:val="0"/>
          <w:marBottom w:val="0"/>
          <w:divBdr>
            <w:top w:val="none" w:sz="0" w:space="0" w:color="auto"/>
            <w:left w:val="none" w:sz="0" w:space="0" w:color="auto"/>
            <w:bottom w:val="none" w:sz="0" w:space="0" w:color="auto"/>
            <w:right w:val="none" w:sz="0" w:space="0" w:color="auto"/>
          </w:divBdr>
        </w:div>
        <w:div w:id="429737748">
          <w:marLeft w:val="0"/>
          <w:marRight w:val="0"/>
          <w:marTop w:val="0"/>
          <w:marBottom w:val="0"/>
          <w:divBdr>
            <w:top w:val="none" w:sz="0" w:space="0" w:color="auto"/>
            <w:left w:val="none" w:sz="0" w:space="0" w:color="auto"/>
            <w:bottom w:val="none" w:sz="0" w:space="0" w:color="auto"/>
            <w:right w:val="none" w:sz="0" w:space="0" w:color="auto"/>
          </w:divBdr>
        </w:div>
        <w:div w:id="1530146113">
          <w:marLeft w:val="0"/>
          <w:marRight w:val="0"/>
          <w:marTop w:val="0"/>
          <w:marBottom w:val="0"/>
          <w:divBdr>
            <w:top w:val="none" w:sz="0" w:space="0" w:color="auto"/>
            <w:left w:val="none" w:sz="0" w:space="0" w:color="auto"/>
            <w:bottom w:val="none" w:sz="0" w:space="0" w:color="auto"/>
            <w:right w:val="none" w:sz="0" w:space="0" w:color="auto"/>
          </w:divBdr>
        </w:div>
        <w:div w:id="467169199">
          <w:marLeft w:val="0"/>
          <w:marRight w:val="0"/>
          <w:marTop w:val="0"/>
          <w:marBottom w:val="0"/>
          <w:divBdr>
            <w:top w:val="none" w:sz="0" w:space="0" w:color="auto"/>
            <w:left w:val="none" w:sz="0" w:space="0" w:color="auto"/>
            <w:bottom w:val="none" w:sz="0" w:space="0" w:color="auto"/>
            <w:right w:val="none" w:sz="0" w:space="0" w:color="auto"/>
          </w:divBdr>
        </w:div>
      </w:divsChild>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6607607">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86823194">
      <w:bodyDiv w:val="1"/>
      <w:marLeft w:val="0"/>
      <w:marRight w:val="0"/>
      <w:marTop w:val="0"/>
      <w:marBottom w:val="0"/>
      <w:divBdr>
        <w:top w:val="none" w:sz="0" w:space="0" w:color="auto"/>
        <w:left w:val="none" w:sz="0" w:space="0" w:color="auto"/>
        <w:bottom w:val="none" w:sz="0" w:space="0" w:color="auto"/>
        <w:right w:val="none" w:sz="0" w:space="0" w:color="auto"/>
      </w:divBdr>
    </w:div>
    <w:div w:id="1188375215">
      <w:bodyDiv w:val="1"/>
      <w:marLeft w:val="0"/>
      <w:marRight w:val="0"/>
      <w:marTop w:val="0"/>
      <w:marBottom w:val="0"/>
      <w:divBdr>
        <w:top w:val="none" w:sz="0" w:space="0" w:color="auto"/>
        <w:left w:val="none" w:sz="0" w:space="0" w:color="auto"/>
        <w:bottom w:val="none" w:sz="0" w:space="0" w:color="auto"/>
        <w:right w:val="none" w:sz="0" w:space="0" w:color="auto"/>
      </w:divBdr>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4348225">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0635160">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78487167">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0574942">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91396815">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1301470">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4890219">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66561692">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4034137">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87338096">
      <w:bodyDiv w:val="1"/>
      <w:marLeft w:val="0"/>
      <w:marRight w:val="0"/>
      <w:marTop w:val="0"/>
      <w:marBottom w:val="0"/>
      <w:divBdr>
        <w:top w:val="none" w:sz="0" w:space="0" w:color="auto"/>
        <w:left w:val="none" w:sz="0" w:space="0" w:color="auto"/>
        <w:bottom w:val="none" w:sz="0" w:space="0" w:color="auto"/>
        <w:right w:val="none" w:sz="0" w:space="0" w:color="auto"/>
      </w:divBdr>
    </w:div>
    <w:div w:id="1389526002">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396784545">
      <w:bodyDiv w:val="1"/>
      <w:marLeft w:val="0"/>
      <w:marRight w:val="0"/>
      <w:marTop w:val="0"/>
      <w:marBottom w:val="0"/>
      <w:divBdr>
        <w:top w:val="none" w:sz="0" w:space="0" w:color="auto"/>
        <w:left w:val="none" w:sz="0" w:space="0" w:color="auto"/>
        <w:bottom w:val="none" w:sz="0" w:space="0" w:color="auto"/>
        <w:right w:val="none" w:sz="0" w:space="0" w:color="auto"/>
      </w:divBdr>
    </w:div>
    <w:div w:id="1398749032">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48727737">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3174887">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sChild>
    </w:div>
    <w:div w:id="1404328211">
      <w:bodyDiv w:val="1"/>
      <w:marLeft w:val="0"/>
      <w:marRight w:val="0"/>
      <w:marTop w:val="0"/>
      <w:marBottom w:val="0"/>
      <w:divBdr>
        <w:top w:val="none" w:sz="0" w:space="0" w:color="auto"/>
        <w:left w:val="none" w:sz="0" w:space="0" w:color="auto"/>
        <w:bottom w:val="none" w:sz="0" w:space="0" w:color="auto"/>
        <w:right w:val="none" w:sz="0" w:space="0" w:color="auto"/>
      </w:divBdr>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653368994">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197861606">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sChild>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63496825">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14488634">
      <w:bodyDiv w:val="1"/>
      <w:marLeft w:val="0"/>
      <w:marRight w:val="0"/>
      <w:marTop w:val="0"/>
      <w:marBottom w:val="0"/>
      <w:divBdr>
        <w:top w:val="none" w:sz="0" w:space="0" w:color="auto"/>
        <w:left w:val="none" w:sz="0" w:space="0" w:color="auto"/>
        <w:bottom w:val="none" w:sz="0" w:space="0" w:color="auto"/>
        <w:right w:val="none" w:sz="0" w:space="0" w:color="auto"/>
      </w:divBdr>
      <w:divsChild>
        <w:div w:id="1540163874">
          <w:marLeft w:val="0"/>
          <w:marRight w:val="0"/>
          <w:marTop w:val="0"/>
          <w:marBottom w:val="0"/>
          <w:divBdr>
            <w:top w:val="none" w:sz="0" w:space="0" w:color="auto"/>
            <w:left w:val="none" w:sz="0" w:space="0" w:color="auto"/>
            <w:bottom w:val="none" w:sz="0" w:space="0" w:color="auto"/>
            <w:right w:val="none" w:sz="0" w:space="0" w:color="auto"/>
          </w:divBdr>
        </w:div>
        <w:div w:id="1536314172">
          <w:marLeft w:val="0"/>
          <w:marRight w:val="0"/>
          <w:marTop w:val="0"/>
          <w:marBottom w:val="0"/>
          <w:divBdr>
            <w:top w:val="none" w:sz="0" w:space="0" w:color="auto"/>
            <w:left w:val="none" w:sz="0" w:space="0" w:color="auto"/>
            <w:bottom w:val="none" w:sz="0" w:space="0" w:color="auto"/>
            <w:right w:val="none" w:sz="0" w:space="0" w:color="auto"/>
          </w:divBdr>
        </w:div>
        <w:div w:id="1746224294">
          <w:marLeft w:val="0"/>
          <w:marRight w:val="0"/>
          <w:marTop w:val="0"/>
          <w:marBottom w:val="0"/>
          <w:divBdr>
            <w:top w:val="none" w:sz="0" w:space="0" w:color="auto"/>
            <w:left w:val="none" w:sz="0" w:space="0" w:color="auto"/>
            <w:bottom w:val="none" w:sz="0" w:space="0" w:color="auto"/>
            <w:right w:val="none" w:sz="0" w:space="0" w:color="auto"/>
          </w:divBdr>
        </w:div>
        <w:div w:id="506988560">
          <w:marLeft w:val="0"/>
          <w:marRight w:val="0"/>
          <w:marTop w:val="0"/>
          <w:marBottom w:val="0"/>
          <w:divBdr>
            <w:top w:val="none" w:sz="0" w:space="0" w:color="auto"/>
            <w:left w:val="none" w:sz="0" w:space="0" w:color="auto"/>
            <w:bottom w:val="none" w:sz="0" w:space="0" w:color="auto"/>
            <w:right w:val="none" w:sz="0" w:space="0" w:color="auto"/>
          </w:divBdr>
        </w:div>
      </w:divsChild>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22669843">
      <w:bodyDiv w:val="1"/>
      <w:marLeft w:val="0"/>
      <w:marRight w:val="0"/>
      <w:marTop w:val="0"/>
      <w:marBottom w:val="0"/>
      <w:divBdr>
        <w:top w:val="none" w:sz="0" w:space="0" w:color="auto"/>
        <w:left w:val="none" w:sz="0" w:space="0" w:color="auto"/>
        <w:bottom w:val="none" w:sz="0" w:space="0" w:color="auto"/>
        <w:right w:val="none" w:sz="0" w:space="0" w:color="auto"/>
      </w:divBdr>
    </w:div>
    <w:div w:id="1525095151">
      <w:bodyDiv w:val="1"/>
      <w:marLeft w:val="0"/>
      <w:marRight w:val="0"/>
      <w:marTop w:val="0"/>
      <w:marBottom w:val="0"/>
      <w:divBdr>
        <w:top w:val="none" w:sz="0" w:space="0" w:color="auto"/>
        <w:left w:val="none" w:sz="0" w:space="0" w:color="auto"/>
        <w:bottom w:val="none" w:sz="0" w:space="0" w:color="auto"/>
        <w:right w:val="none" w:sz="0" w:space="0" w:color="auto"/>
      </w:divBdr>
    </w:div>
    <w:div w:id="1531652241">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42010558">
      <w:bodyDiv w:val="1"/>
      <w:marLeft w:val="0"/>
      <w:marRight w:val="0"/>
      <w:marTop w:val="0"/>
      <w:marBottom w:val="0"/>
      <w:divBdr>
        <w:top w:val="none" w:sz="0" w:space="0" w:color="auto"/>
        <w:left w:val="none" w:sz="0" w:space="0" w:color="auto"/>
        <w:bottom w:val="none" w:sz="0" w:space="0" w:color="auto"/>
        <w:right w:val="none" w:sz="0" w:space="0" w:color="auto"/>
      </w:divBdr>
      <w:divsChild>
        <w:div w:id="828594131">
          <w:marLeft w:val="0"/>
          <w:marRight w:val="0"/>
          <w:marTop w:val="0"/>
          <w:marBottom w:val="0"/>
          <w:divBdr>
            <w:top w:val="none" w:sz="0" w:space="0" w:color="auto"/>
            <w:left w:val="none" w:sz="0" w:space="0" w:color="auto"/>
            <w:bottom w:val="none" w:sz="0" w:space="0" w:color="auto"/>
            <w:right w:val="none" w:sz="0" w:space="0" w:color="auto"/>
          </w:divBdr>
        </w:div>
      </w:divsChild>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60362458">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266824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75190489">
          <w:marLeft w:val="0"/>
          <w:marRight w:val="0"/>
          <w:marTop w:val="0"/>
          <w:marBottom w:val="0"/>
          <w:divBdr>
            <w:top w:val="none" w:sz="0" w:space="0" w:color="auto"/>
            <w:left w:val="none" w:sz="0" w:space="0" w:color="auto"/>
            <w:bottom w:val="none" w:sz="0" w:space="0" w:color="auto"/>
            <w:right w:val="none" w:sz="0" w:space="0" w:color="auto"/>
          </w:divBdr>
        </w:div>
      </w:divsChild>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5280462">
      <w:bodyDiv w:val="1"/>
      <w:marLeft w:val="0"/>
      <w:marRight w:val="0"/>
      <w:marTop w:val="0"/>
      <w:marBottom w:val="0"/>
      <w:divBdr>
        <w:top w:val="none" w:sz="0" w:space="0" w:color="auto"/>
        <w:left w:val="none" w:sz="0" w:space="0" w:color="auto"/>
        <w:bottom w:val="none" w:sz="0" w:space="0" w:color="auto"/>
        <w:right w:val="none" w:sz="0" w:space="0" w:color="auto"/>
      </w:divBdr>
    </w:div>
    <w:div w:id="1597056786">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17254799">
      <w:bodyDiv w:val="1"/>
      <w:marLeft w:val="0"/>
      <w:marRight w:val="0"/>
      <w:marTop w:val="0"/>
      <w:marBottom w:val="0"/>
      <w:divBdr>
        <w:top w:val="none" w:sz="0" w:space="0" w:color="auto"/>
        <w:left w:val="none" w:sz="0" w:space="0" w:color="auto"/>
        <w:bottom w:val="none" w:sz="0" w:space="0" w:color="auto"/>
        <w:right w:val="none" w:sz="0" w:space="0" w:color="auto"/>
      </w:divBdr>
    </w:div>
    <w:div w:id="1629893355">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8124009">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67443475">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82274004">
      <w:bodyDiv w:val="1"/>
      <w:marLeft w:val="0"/>
      <w:marRight w:val="0"/>
      <w:marTop w:val="0"/>
      <w:marBottom w:val="0"/>
      <w:divBdr>
        <w:top w:val="none" w:sz="0" w:space="0" w:color="auto"/>
        <w:left w:val="none" w:sz="0" w:space="0" w:color="auto"/>
        <w:bottom w:val="none" w:sz="0" w:space="0" w:color="auto"/>
        <w:right w:val="none" w:sz="0" w:space="0" w:color="auto"/>
      </w:divBdr>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7337837">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44913398">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75442486">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7894764">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2426474">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742849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5369616">
      <w:bodyDiv w:val="1"/>
      <w:marLeft w:val="0"/>
      <w:marRight w:val="0"/>
      <w:marTop w:val="0"/>
      <w:marBottom w:val="0"/>
      <w:divBdr>
        <w:top w:val="none" w:sz="0" w:space="0" w:color="auto"/>
        <w:left w:val="none" w:sz="0" w:space="0" w:color="auto"/>
        <w:bottom w:val="none" w:sz="0" w:space="0" w:color="auto"/>
        <w:right w:val="none" w:sz="0" w:space="0" w:color="auto"/>
      </w:divBdr>
    </w:div>
    <w:div w:id="1886674576">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898008694">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0795255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21674102">
      <w:bodyDiv w:val="1"/>
      <w:marLeft w:val="0"/>
      <w:marRight w:val="0"/>
      <w:marTop w:val="0"/>
      <w:marBottom w:val="0"/>
      <w:divBdr>
        <w:top w:val="none" w:sz="0" w:space="0" w:color="auto"/>
        <w:left w:val="none" w:sz="0" w:space="0" w:color="auto"/>
        <w:bottom w:val="none" w:sz="0" w:space="0" w:color="auto"/>
        <w:right w:val="none" w:sz="0" w:space="0" w:color="auto"/>
      </w:divBdr>
    </w:div>
    <w:div w:id="1925989675">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2859270">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49779478">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781866">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84193611">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7150926">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8988521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097051941">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6175007">
      <w:bodyDiv w:val="1"/>
      <w:marLeft w:val="0"/>
      <w:marRight w:val="0"/>
      <w:marTop w:val="0"/>
      <w:marBottom w:val="0"/>
      <w:divBdr>
        <w:top w:val="none" w:sz="0" w:space="0" w:color="auto"/>
        <w:left w:val="none" w:sz="0" w:space="0" w:color="auto"/>
        <w:bottom w:val="none" w:sz="0" w:space="0" w:color="auto"/>
        <w:right w:val="none" w:sz="0" w:space="0" w:color="auto"/>
      </w:divBdr>
    </w:div>
    <w:div w:id="2116900903">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hyperlink" Target="https://www.sec.gov/news/press-release/2019-190" TargetMode="External"/><Relationship Id="rId3" Type="http://schemas.openxmlformats.org/officeDocument/2006/relationships/customXml" Target="../customXml/item3.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hyperlink" Target="https://www.cftc.gov/PressRoom/PressReleases/8024-19"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bulletin@sebi.gov.in"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hyperlink" Target="https://www.sec.gov/news/press-release/2019-189"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hyperlink" Target="https://www.cftc.gov/PressRoom/PressReleases/8027-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bi.gov.in"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hyperlink" Target="https://www.sec.gov/news/press-release/2019-179" TargetMode="External"/><Relationship Id="rId40" Type="http://schemas.openxmlformats.org/officeDocument/2006/relationships/hyperlink" Target="https://www.iosco.org/news/pdf/IOSCONEWS544.pdf"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hyperlink" Target="https://www.sec.gov/news/press-release/2019-182" TargetMode="External"/><Relationship Id="rId49" Type="http://schemas.openxmlformats.org/officeDocument/2006/relationships/footer" Target="footer3.xml"/><Relationship Id="rId10" Type="http://schemas.openxmlformats.org/officeDocument/2006/relationships/hyperlink" Target="mailto:bulletin@sebi.gov.in" TargetMode="Externa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hyperlink" Target="http://www.sebi.gov.in/sebiweb/home/list/2/9/0/1/Orders" TargetMode="External"/><Relationship Id="rId48"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832\Documents\Work_HO_DEPA\2019-20\Bulletin\October%202019\Capital%20Market%20Review%20-%20October%202019%20Issu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832\Documents\Work_HO_DEPA\2019-20\Bulletin\October%202019\Capital%20Market%20Review%20-%20October%202019%20Issue.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832\Documents\Work_HO_DEPA\2019-20\Bulletin\October%202019\Capital%20Market%20Review%20-%20October%202019%20Issue.xlsx" TargetMode="External"/><Relationship Id="rId2" Type="http://schemas.microsoft.com/office/2011/relationships/chartColorStyle" Target="colors4.xml"/><Relationship Id="rId1" Type="http://schemas.microsoft.com/office/2011/relationships/chartStyle" Target="style4.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1832\Documents\Work_HO_DEPA\2019-20\Bulletin\October%202019\Capital%20Market%20Review%20-%20October%202019%20Issue.xlsx" TargetMode="External"/><Relationship Id="rId2" Type="http://schemas.microsoft.com/office/2011/relationships/chartColorStyle" Target="colors5.xml"/><Relationship Id="rId1" Type="http://schemas.microsoft.com/office/2011/relationships/chartStyle" Target="style5.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September%202019\Graphs%20&amp;%20data%20for%20bulletin%20Sept.%20%202019.xlsx" TargetMode="External"/><Relationship Id="rId2" Type="http://schemas.microsoft.com/office/2011/relationships/chartColorStyle" Target="colors6.xml"/><Relationship Id="rId1" Type="http://schemas.microsoft.com/office/2011/relationships/chartStyle" Target="style6.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2201\Desktop\Month-wise%20Bulletin\Bulletin%20Jan.%202019%20to%20Dec.%202019\September%202019\Graphs%20&amp;%20data%20for%20bulletin%20Sept.%20%202019.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September%202019\Graphs%20&amp;%20data%20for%20bulletin%20Sept.%20%202019.xlsx" TargetMode="External"/><Relationship Id="rId2" Type="http://schemas.microsoft.com/office/2011/relationships/chartColorStyle" Target="colors7.xml"/><Relationship Id="rId1" Type="http://schemas.microsoft.com/office/2011/relationships/chartStyle" Target="style7.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2201\Desktop\Month-wise%20Bulletin\Bulletin%20Jan.%202019%20to%20Dec.%202019\September%202019\Graphs%20&amp;%20data%20for%20bulletin%20Sept.%20%202019.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September%202019\Template%20-prices%20&amp;%20graph%20%20Sept.%20%202019.xlsx" TargetMode="External"/><Relationship Id="rId2" Type="http://schemas.microsoft.com/office/2011/relationships/chartColorStyle" Target="colors9.xml"/><Relationship Id="rId1" Type="http://schemas.microsoft.com/office/2011/relationships/chartStyle" Target="style9.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1409\Desktop\Global%20Review\2019-20\Master%20File_Shyni.xlsx" TargetMode="External"/><Relationship Id="rId2" Type="http://schemas.microsoft.com/office/2011/relationships/chartColorStyle" Target="colors10.xml"/><Relationship Id="rId1" Type="http://schemas.microsoft.com/office/2011/relationships/chartStyle" Target="style10.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1409\Desktop\Global%20Review\2019-20\Master%20File_Shyni.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1832\Documents\Work_HO_DEPA\2019-20\Bulletin\October%202019\Capital%20Market%20Review%20-%20October%202019%20Issue.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Users\1409\Desktop\Global%20Review\2019-20\Master%20File_Shyni.xlsx" TargetMode="External"/><Relationship Id="rId2" Type="http://schemas.microsoft.com/office/2011/relationships/chartColorStyle" Target="colors12.xml"/><Relationship Id="rId1" Type="http://schemas.microsoft.com/office/2011/relationships/chartStyle" Target="style12.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1409\Desktop\Global%20Review\2019-20\Master%20File_Shyni.xlsx" TargetMode="External"/><Relationship Id="rId2" Type="http://schemas.microsoft.com/office/2011/relationships/chartColorStyle" Target="colors13.xml"/><Relationship Id="rId1" Type="http://schemas.microsoft.com/office/2011/relationships/chartStyle" Target="style13.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1409\Desktop\Global%20Review\2019-20\Master%20File_Shyni.xlsx" TargetMode="External"/><Relationship Id="rId2" Type="http://schemas.microsoft.com/office/2011/relationships/chartColorStyle" Target="colors14.xml"/><Relationship Id="rId1" Type="http://schemas.microsoft.com/office/2011/relationships/chartStyle" Target="style14.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1409\Desktop\Global%20Review\2019-20\Master%20File_Shyni.xlsx" TargetMode="External"/><Relationship Id="rId2" Type="http://schemas.microsoft.com/office/2011/relationships/chartColorStyle" Target="colors15.xml"/><Relationship Id="rId1" Type="http://schemas.microsoft.com/office/2011/relationships/chartStyle" Target="style15.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1832\Documents\Work_HO_DEPA\2019-20\Bulletin\October%202019\Capital%20Market%20Review%20-%20October%202019%20Issue.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1832\Documents\Work_HO_DEPA\2019-20\Bulletin\October%202019\Capital%20Market%20Review%20-%20October%202019%20Issue.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832\Documents\Work_HO_DEPA\2019-20\Bulletin\October%202019\Capital%20Market%20Review%20-%20October%202019%20Issue.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1832\Documents\Work_HO_DEPA\2019-20\Bulletin\October%202019\Capital%20Market%20Review%20-%20October%202019%20Issu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832\Documents\Work_HO_DEPA\2019-20\Bulletin\October%202019\Capital%20Market%20Review%20-%20October%202019%20Issu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832\Documents\Work_HO_DEPA\2019-20\Bulletin\October%202019\Capital%20Market%20Review%20-%20October%202019%20Issu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832\Documents\Work_HO_DEPA\2019-20\Bulletin\October%202019\Capital%20Market%20Review%20-%20October%202019%20Iss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631534327739597E-2"/>
          <c:y val="5.1004060492083038E-2"/>
          <c:w val="0.89677045605474726"/>
          <c:h val="0.61860100723416822"/>
        </c:manualLayout>
      </c:layout>
      <c:lineChart>
        <c:grouping val="standard"/>
        <c:varyColors val="0"/>
        <c:ser>
          <c:idx val="0"/>
          <c:order val="0"/>
          <c:tx>
            <c:strRef>
              <c:f>'F1'!$B$1</c:f>
              <c:strCache>
                <c:ptCount val="1"/>
                <c:pt idx="0">
                  <c:v>Nifty </c:v>
                </c:pt>
              </c:strCache>
            </c:strRef>
          </c:tx>
          <c:spPr>
            <a:ln w="28575" cap="rnd">
              <a:solidFill>
                <a:schemeClr val="accent1"/>
              </a:solidFill>
              <a:round/>
            </a:ln>
            <a:effectLst/>
          </c:spPr>
          <c:marker>
            <c:symbol val="none"/>
          </c:marker>
          <c:cat>
            <c:numRef>
              <c:f>'F1'!$A$2:$A$20</c:f>
              <c:numCache>
                <c:formatCode>[$-409]d\-mmm\-yy;@</c:formatCode>
                <c:ptCount val="19"/>
                <c:pt idx="0">
                  <c:v>43711</c:v>
                </c:pt>
                <c:pt idx="1">
                  <c:v>43712</c:v>
                </c:pt>
                <c:pt idx="2">
                  <c:v>43713</c:v>
                </c:pt>
                <c:pt idx="3">
                  <c:v>43714</c:v>
                </c:pt>
                <c:pt idx="4">
                  <c:v>43717</c:v>
                </c:pt>
                <c:pt idx="5">
                  <c:v>43719</c:v>
                </c:pt>
                <c:pt idx="6">
                  <c:v>43720</c:v>
                </c:pt>
                <c:pt idx="7">
                  <c:v>43721</c:v>
                </c:pt>
                <c:pt idx="8">
                  <c:v>43724</c:v>
                </c:pt>
                <c:pt idx="9">
                  <c:v>43725</c:v>
                </c:pt>
                <c:pt idx="10">
                  <c:v>43726</c:v>
                </c:pt>
                <c:pt idx="11">
                  <c:v>43727</c:v>
                </c:pt>
                <c:pt idx="12">
                  <c:v>43728</c:v>
                </c:pt>
                <c:pt idx="13">
                  <c:v>43731</c:v>
                </c:pt>
                <c:pt idx="14">
                  <c:v>43732</c:v>
                </c:pt>
                <c:pt idx="15">
                  <c:v>43733</c:v>
                </c:pt>
                <c:pt idx="16">
                  <c:v>43734</c:v>
                </c:pt>
                <c:pt idx="17">
                  <c:v>43735</c:v>
                </c:pt>
                <c:pt idx="18">
                  <c:v>43738</c:v>
                </c:pt>
              </c:numCache>
            </c:numRef>
          </c:cat>
          <c:val>
            <c:numRef>
              <c:f>'F1'!$D$2:$D$21</c:f>
              <c:numCache>
                <c:formatCode>0.0</c:formatCode>
                <c:ptCount val="20"/>
                <c:pt idx="0">
                  <c:v>100</c:v>
                </c:pt>
                <c:pt idx="1">
                  <c:v>100.43295455597847</c:v>
                </c:pt>
                <c:pt idx="2">
                  <c:v>100.4630530010465</c:v>
                </c:pt>
                <c:pt idx="3">
                  <c:v>101.37341520110394</c:v>
                </c:pt>
                <c:pt idx="4">
                  <c:v>101.89990646329379</c:v>
                </c:pt>
                <c:pt idx="5">
                  <c:v>102.20228007297717</c:v>
                </c:pt>
                <c:pt idx="6">
                  <c:v>101.71236999786997</c:v>
                </c:pt>
                <c:pt idx="7">
                  <c:v>102.57457468581856</c:v>
                </c:pt>
                <c:pt idx="8">
                  <c:v>101.90407394030323</c:v>
                </c:pt>
                <c:pt idx="9">
                  <c:v>100.18244288241236</c:v>
                </c:pt>
                <c:pt idx="10">
                  <c:v>100.3959103158948</c:v>
                </c:pt>
                <c:pt idx="11">
                  <c:v>99.137795312051452</c:v>
                </c:pt>
                <c:pt idx="12">
                  <c:v>104.411042887969</c:v>
                </c:pt>
                <c:pt idx="13">
                  <c:v>107.43014845479217</c:v>
                </c:pt>
                <c:pt idx="14">
                  <c:v>107.31901573454101</c:v>
                </c:pt>
                <c:pt idx="15">
                  <c:v>105.94837885144337</c:v>
                </c:pt>
                <c:pt idx="16">
                  <c:v>107.1615777141852</c:v>
                </c:pt>
                <c:pt idx="17">
                  <c:v>106.61702738495451</c:v>
                </c:pt>
                <c:pt idx="18">
                  <c:v>106.26557015716023</c:v>
                </c:pt>
              </c:numCache>
            </c:numRef>
          </c:val>
          <c:smooth val="0"/>
        </c:ser>
        <c:ser>
          <c:idx val="1"/>
          <c:order val="1"/>
          <c:tx>
            <c:strRef>
              <c:f>'F1'!$C$1</c:f>
              <c:strCache>
                <c:ptCount val="1"/>
                <c:pt idx="0">
                  <c:v>Sensex </c:v>
                </c:pt>
              </c:strCache>
            </c:strRef>
          </c:tx>
          <c:spPr>
            <a:ln w="28575" cap="rnd">
              <a:solidFill>
                <a:schemeClr val="accent2"/>
              </a:solidFill>
              <a:round/>
            </a:ln>
            <a:effectLst/>
          </c:spPr>
          <c:marker>
            <c:symbol val="none"/>
          </c:marker>
          <c:cat>
            <c:numRef>
              <c:f>'F1'!$A$2:$A$20</c:f>
              <c:numCache>
                <c:formatCode>[$-409]d\-mmm\-yy;@</c:formatCode>
                <c:ptCount val="19"/>
                <c:pt idx="0">
                  <c:v>43711</c:v>
                </c:pt>
                <c:pt idx="1">
                  <c:v>43712</c:v>
                </c:pt>
                <c:pt idx="2">
                  <c:v>43713</c:v>
                </c:pt>
                <c:pt idx="3">
                  <c:v>43714</c:v>
                </c:pt>
                <c:pt idx="4">
                  <c:v>43717</c:v>
                </c:pt>
                <c:pt idx="5">
                  <c:v>43719</c:v>
                </c:pt>
                <c:pt idx="6">
                  <c:v>43720</c:v>
                </c:pt>
                <c:pt idx="7">
                  <c:v>43721</c:v>
                </c:pt>
                <c:pt idx="8">
                  <c:v>43724</c:v>
                </c:pt>
                <c:pt idx="9">
                  <c:v>43725</c:v>
                </c:pt>
                <c:pt idx="10">
                  <c:v>43726</c:v>
                </c:pt>
                <c:pt idx="11">
                  <c:v>43727</c:v>
                </c:pt>
                <c:pt idx="12">
                  <c:v>43728</c:v>
                </c:pt>
                <c:pt idx="13">
                  <c:v>43731</c:v>
                </c:pt>
                <c:pt idx="14">
                  <c:v>43732</c:v>
                </c:pt>
                <c:pt idx="15">
                  <c:v>43733</c:v>
                </c:pt>
                <c:pt idx="16">
                  <c:v>43734</c:v>
                </c:pt>
                <c:pt idx="17">
                  <c:v>43735</c:v>
                </c:pt>
                <c:pt idx="18">
                  <c:v>43738</c:v>
                </c:pt>
              </c:numCache>
            </c:numRef>
          </c:cat>
          <c:val>
            <c:numRef>
              <c:f>'F1'!$E$2:$E$20</c:f>
              <c:numCache>
                <c:formatCode>0.0</c:formatCode>
                <c:ptCount val="19"/>
                <c:pt idx="0" formatCode="0">
                  <c:v>100</c:v>
                </c:pt>
                <c:pt idx="1">
                  <c:v>100.44260700256078</c:v>
                </c:pt>
                <c:pt idx="2">
                  <c:v>100.22293083345936</c:v>
                </c:pt>
                <c:pt idx="3">
                  <c:v>101.14558715375772</c:v>
                </c:pt>
                <c:pt idx="4">
                  <c:v>101.5932539286397</c:v>
                </c:pt>
                <c:pt idx="5">
                  <c:v>101.93614239129217</c:v>
                </c:pt>
                <c:pt idx="6">
                  <c:v>101.48065348190283</c:v>
                </c:pt>
                <c:pt idx="7">
                  <c:v>102.24839871881093</c:v>
                </c:pt>
                <c:pt idx="8">
                  <c:v>101.53270076150939</c:v>
                </c:pt>
                <c:pt idx="9">
                  <c:v>99.776221312800303</c:v>
                </c:pt>
                <c:pt idx="10">
                  <c:v>100.00265296170353</c:v>
                </c:pt>
                <c:pt idx="11">
                  <c:v>98.716075935968988</c:v>
                </c:pt>
                <c:pt idx="12">
                  <c:v>103.97044436561532</c:v>
                </c:pt>
                <c:pt idx="13">
                  <c:v>106.91170369098081</c:v>
                </c:pt>
                <c:pt idx="14">
                  <c:v>106.93114962676657</c:v>
                </c:pt>
                <c:pt idx="15">
                  <c:v>105.55374285033658</c:v>
                </c:pt>
                <c:pt idx="16">
                  <c:v>106.63740933093126</c:v>
                </c:pt>
                <c:pt idx="17">
                  <c:v>106.18019736394068</c:v>
                </c:pt>
                <c:pt idx="18">
                  <c:v>105.75561409089157</c:v>
                </c:pt>
              </c:numCache>
            </c:numRef>
          </c:val>
          <c:smooth val="0"/>
        </c:ser>
        <c:dLbls>
          <c:showLegendKey val="0"/>
          <c:showVal val="0"/>
          <c:showCatName val="0"/>
          <c:showSerName val="0"/>
          <c:showPercent val="0"/>
          <c:showBubbleSize val="0"/>
        </c:dLbls>
        <c:smooth val="0"/>
        <c:axId val="405348632"/>
        <c:axId val="405356080"/>
      </c:lineChart>
      <c:dateAx>
        <c:axId val="405348632"/>
        <c:scaling>
          <c:orientation val="minMax"/>
        </c:scaling>
        <c:delete val="0"/>
        <c:axPos val="b"/>
        <c:numFmt formatCode="[$-409]d\-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05356080"/>
        <c:crosses val="autoZero"/>
        <c:auto val="1"/>
        <c:lblOffset val="100"/>
        <c:baseTimeUnit val="days"/>
        <c:majorUnit val="1"/>
        <c:majorTimeUnit val="days"/>
      </c:dateAx>
      <c:valAx>
        <c:axId val="405356080"/>
        <c:scaling>
          <c:orientation val="minMax"/>
          <c:min val="98"/>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05348632"/>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Palatino Linotype" panose="0204050205050503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049422852158805E-2"/>
          <c:y val="1.7634166896961276E-2"/>
          <c:w val="0.89820213633835411"/>
          <c:h val="0.67024149613712003"/>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numRef>
              <c:f>'F12'!$A$3:$A$14</c:f>
              <c:numCache>
                <c:formatCode>[$-409]mmm\-yy;@</c:formatCode>
                <c:ptCount val="12"/>
                <c:pt idx="0">
                  <c:v>43374</c:v>
                </c:pt>
                <c:pt idx="1">
                  <c:v>43405</c:v>
                </c:pt>
                <c:pt idx="2">
                  <c:v>43435</c:v>
                </c:pt>
                <c:pt idx="3">
                  <c:v>43466</c:v>
                </c:pt>
                <c:pt idx="4">
                  <c:v>43497</c:v>
                </c:pt>
                <c:pt idx="5">
                  <c:v>43525</c:v>
                </c:pt>
                <c:pt idx="6">
                  <c:v>43556</c:v>
                </c:pt>
                <c:pt idx="7">
                  <c:v>43586</c:v>
                </c:pt>
                <c:pt idx="8">
                  <c:v>43626</c:v>
                </c:pt>
                <c:pt idx="9">
                  <c:v>43647</c:v>
                </c:pt>
                <c:pt idx="10">
                  <c:v>43678</c:v>
                </c:pt>
                <c:pt idx="11">
                  <c:v>43709</c:v>
                </c:pt>
              </c:numCache>
            </c:numRef>
          </c:cat>
          <c:val>
            <c:numRef>
              <c:f>'F12'!$B$3:$B$14</c:f>
              <c:numCache>
                <c:formatCode>[&gt;9999999]##\,##\,##\,##0;[&gt;99999]##\,##\,##0;##,##0</c:formatCode>
                <c:ptCount val="12"/>
                <c:pt idx="0">
                  <c:v>24047.32</c:v>
                </c:pt>
                <c:pt idx="1">
                  <c:v>5236.4799999999996</c:v>
                </c:pt>
                <c:pt idx="2">
                  <c:v>2918.97</c:v>
                </c:pt>
                <c:pt idx="3">
                  <c:v>7160.61</c:v>
                </c:pt>
                <c:pt idx="4">
                  <c:v>2173.61</c:v>
                </c:pt>
                <c:pt idx="5">
                  <c:v>-7396.15</c:v>
                </c:pt>
                <c:pt idx="6">
                  <c:v>-4599.66</c:v>
                </c:pt>
                <c:pt idx="7">
                  <c:v>5163.72</c:v>
                </c:pt>
                <c:pt idx="8">
                  <c:v>6232.2</c:v>
                </c:pt>
                <c:pt idx="9">
                  <c:v>15083.99</c:v>
                </c:pt>
                <c:pt idx="10">
                  <c:v>17406.63</c:v>
                </c:pt>
                <c:pt idx="11" formatCode="#,##0;\-#,##0;0">
                  <c:v>11029.33</c:v>
                </c:pt>
              </c:numCache>
            </c:numRef>
          </c:val>
        </c:ser>
        <c:ser>
          <c:idx val="1"/>
          <c:order val="1"/>
          <c:tx>
            <c:strRef>
              <c:f>'F12'!$C$2</c:f>
              <c:strCache>
                <c:ptCount val="1"/>
                <c:pt idx="0">
                  <c:v>Debt</c:v>
                </c:pt>
              </c:strCache>
            </c:strRef>
          </c:tx>
          <c:invertIfNegative val="0"/>
          <c:cat>
            <c:numRef>
              <c:f>'F12'!$A$3:$A$14</c:f>
              <c:numCache>
                <c:formatCode>[$-409]mmm\-yy;@</c:formatCode>
                <c:ptCount val="12"/>
                <c:pt idx="0">
                  <c:v>43374</c:v>
                </c:pt>
                <c:pt idx="1">
                  <c:v>43405</c:v>
                </c:pt>
                <c:pt idx="2">
                  <c:v>43435</c:v>
                </c:pt>
                <c:pt idx="3">
                  <c:v>43466</c:v>
                </c:pt>
                <c:pt idx="4">
                  <c:v>43497</c:v>
                </c:pt>
                <c:pt idx="5">
                  <c:v>43525</c:v>
                </c:pt>
                <c:pt idx="6">
                  <c:v>43556</c:v>
                </c:pt>
                <c:pt idx="7">
                  <c:v>43586</c:v>
                </c:pt>
                <c:pt idx="8">
                  <c:v>43626</c:v>
                </c:pt>
                <c:pt idx="9">
                  <c:v>43647</c:v>
                </c:pt>
                <c:pt idx="10">
                  <c:v>43678</c:v>
                </c:pt>
                <c:pt idx="11">
                  <c:v>43709</c:v>
                </c:pt>
              </c:numCache>
            </c:numRef>
          </c:cat>
          <c:val>
            <c:numRef>
              <c:f>'F12'!$C$3:$C$14</c:f>
              <c:numCache>
                <c:formatCode>[&gt;9999999]##\,##\,##\,##0;[&gt;99999]##\,##\,##0;##,##0</c:formatCode>
                <c:ptCount val="12"/>
                <c:pt idx="0">
                  <c:v>27364.51</c:v>
                </c:pt>
                <c:pt idx="1">
                  <c:v>51392.57</c:v>
                </c:pt>
                <c:pt idx="2">
                  <c:v>65235</c:v>
                </c:pt>
                <c:pt idx="3">
                  <c:v>47151.94</c:v>
                </c:pt>
                <c:pt idx="4">
                  <c:v>26450.21</c:v>
                </c:pt>
                <c:pt idx="5">
                  <c:v>71448.53</c:v>
                </c:pt>
                <c:pt idx="6">
                  <c:v>50820.1</c:v>
                </c:pt>
                <c:pt idx="7">
                  <c:v>31340</c:v>
                </c:pt>
                <c:pt idx="8">
                  <c:v>43570.53</c:v>
                </c:pt>
                <c:pt idx="9">
                  <c:v>52798.7</c:v>
                </c:pt>
                <c:pt idx="10">
                  <c:v>50315.97</c:v>
                </c:pt>
                <c:pt idx="11" formatCode="#,##0;\-#,##0;0">
                  <c:v>31354.44</c:v>
                </c:pt>
              </c:numCache>
            </c:numRef>
          </c:val>
        </c:ser>
        <c:dLbls>
          <c:showLegendKey val="0"/>
          <c:showVal val="0"/>
          <c:showCatName val="0"/>
          <c:showSerName val="0"/>
          <c:showPercent val="0"/>
          <c:showBubbleSize val="0"/>
        </c:dLbls>
        <c:gapWidth val="150"/>
        <c:axId val="472594432"/>
        <c:axId val="472603056"/>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cat>
            <c:numRef>
              <c:f>'F12'!$A$3:$A$14</c:f>
              <c:numCache>
                <c:formatCode>[$-409]mmm\-yy;@</c:formatCode>
                <c:ptCount val="12"/>
                <c:pt idx="0">
                  <c:v>43374</c:v>
                </c:pt>
                <c:pt idx="1">
                  <c:v>43405</c:v>
                </c:pt>
                <c:pt idx="2">
                  <c:v>43435</c:v>
                </c:pt>
                <c:pt idx="3">
                  <c:v>43466</c:v>
                </c:pt>
                <c:pt idx="4">
                  <c:v>43497</c:v>
                </c:pt>
                <c:pt idx="5">
                  <c:v>43525</c:v>
                </c:pt>
                <c:pt idx="6">
                  <c:v>43556</c:v>
                </c:pt>
                <c:pt idx="7">
                  <c:v>43586</c:v>
                </c:pt>
                <c:pt idx="8">
                  <c:v>43626</c:v>
                </c:pt>
                <c:pt idx="9">
                  <c:v>43647</c:v>
                </c:pt>
                <c:pt idx="10">
                  <c:v>43678</c:v>
                </c:pt>
                <c:pt idx="11">
                  <c:v>43709</c:v>
                </c:pt>
              </c:numCache>
            </c:numRef>
          </c:cat>
          <c:val>
            <c:numRef>
              <c:f>'F12'!$D$3:$D$14</c:f>
              <c:numCache>
                <c:formatCode>[&gt;9999999]##\,##\,##\,##0;[&gt;99999]##\,##\,##0;##,##0</c:formatCode>
                <c:ptCount val="12"/>
                <c:pt idx="0">
                  <c:v>51411.83</c:v>
                </c:pt>
                <c:pt idx="1">
                  <c:v>56629.05</c:v>
                </c:pt>
                <c:pt idx="2">
                  <c:v>68153.97</c:v>
                </c:pt>
                <c:pt idx="3">
                  <c:v>54312.55</c:v>
                </c:pt>
                <c:pt idx="4">
                  <c:v>28623.82</c:v>
                </c:pt>
                <c:pt idx="5">
                  <c:v>64052.38</c:v>
                </c:pt>
                <c:pt idx="6">
                  <c:v>46220.44</c:v>
                </c:pt>
                <c:pt idx="7">
                  <c:v>36503.72</c:v>
                </c:pt>
                <c:pt idx="8">
                  <c:v>49802.729999999996</c:v>
                </c:pt>
                <c:pt idx="9">
                  <c:v>67882.69</c:v>
                </c:pt>
                <c:pt idx="10">
                  <c:v>67722.600000000006</c:v>
                </c:pt>
                <c:pt idx="11">
                  <c:v>42383.77</c:v>
                </c:pt>
              </c:numCache>
            </c:numRef>
          </c:val>
          <c:smooth val="0"/>
        </c:ser>
        <c:dLbls>
          <c:showLegendKey val="0"/>
          <c:showVal val="0"/>
          <c:showCatName val="0"/>
          <c:showSerName val="0"/>
          <c:showPercent val="0"/>
          <c:showBubbleSize val="0"/>
        </c:dLbls>
        <c:marker val="1"/>
        <c:smooth val="0"/>
        <c:axId val="472594432"/>
        <c:axId val="472603056"/>
      </c:lineChart>
      <c:catAx>
        <c:axId val="472594432"/>
        <c:scaling>
          <c:orientation val="minMax"/>
        </c:scaling>
        <c:delete val="0"/>
        <c:axPos val="b"/>
        <c:numFmt formatCode="[$-409]mmm\-yy;@" sourceLinked="1"/>
        <c:majorTickMark val="none"/>
        <c:minorTickMark val="none"/>
        <c:tickLblPos val="low"/>
        <c:txPr>
          <a:bodyPr rot="-5400000" vert="horz" anchor="ctr" anchorCtr="0"/>
          <a:lstStyle/>
          <a:p>
            <a:pPr>
              <a:defRPr lang="en-IN"/>
            </a:pPr>
            <a:endParaRPr lang="en-US"/>
          </a:p>
        </c:txPr>
        <c:crossAx val="472603056"/>
        <c:crosses val="autoZero"/>
        <c:auto val="0"/>
        <c:lblAlgn val="ctr"/>
        <c:lblOffset val="1"/>
        <c:noMultiLvlLbl val="0"/>
      </c:catAx>
      <c:valAx>
        <c:axId val="472603056"/>
        <c:scaling>
          <c:orientation val="minMax"/>
        </c:scaling>
        <c:delete val="0"/>
        <c:axPos val="l"/>
        <c:numFmt formatCode="[&gt;9999999]##\,##\,##\,##0;[&gt;99999]##\,##\,##0;##,##0" sourceLinked="1"/>
        <c:majorTickMark val="out"/>
        <c:minorTickMark val="none"/>
        <c:tickLblPos val="nextTo"/>
        <c:crossAx val="472594432"/>
        <c:crosses val="autoZero"/>
        <c:crossBetween val="between"/>
      </c:valAx>
    </c:plotArea>
    <c:legend>
      <c:legendPos val="b"/>
      <c:layout>
        <c:manualLayout>
          <c:xMode val="edge"/>
          <c:yMode val="edge"/>
          <c:x val="0.33867459868601063"/>
          <c:y val="0.89266853845790795"/>
          <c:w val="0.40687883116570267"/>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13'!$B$3</c:f>
              <c:strCache>
                <c:ptCount val="1"/>
                <c:pt idx="0">
                  <c:v>Equity (LHS)</c:v>
                </c:pt>
              </c:strCache>
            </c:strRef>
          </c:tx>
          <c:spPr>
            <a:solidFill>
              <a:schemeClr val="accent1"/>
            </a:solidFill>
            <a:ln>
              <a:noFill/>
            </a:ln>
            <a:effectLst/>
          </c:spPr>
          <c:invertIfNegative val="0"/>
          <c:cat>
            <c:numRef>
              <c:f>'F 13'!$A$4:$A$15</c:f>
              <c:numCache>
                <c:formatCode>[$-409]mmm\-yy;@</c:formatCode>
                <c:ptCount val="12"/>
                <c:pt idx="0">
                  <c:v>43374</c:v>
                </c:pt>
                <c:pt idx="1">
                  <c:v>43405</c:v>
                </c:pt>
                <c:pt idx="2">
                  <c:v>43435</c:v>
                </c:pt>
                <c:pt idx="3">
                  <c:v>43466</c:v>
                </c:pt>
                <c:pt idx="4">
                  <c:v>43497</c:v>
                </c:pt>
                <c:pt idx="5">
                  <c:v>43525</c:v>
                </c:pt>
                <c:pt idx="6">
                  <c:v>43556</c:v>
                </c:pt>
                <c:pt idx="7">
                  <c:v>43586</c:v>
                </c:pt>
                <c:pt idx="8">
                  <c:v>43626</c:v>
                </c:pt>
                <c:pt idx="9">
                  <c:v>43647</c:v>
                </c:pt>
                <c:pt idx="10">
                  <c:v>43678</c:v>
                </c:pt>
                <c:pt idx="11">
                  <c:v>43709</c:v>
                </c:pt>
              </c:numCache>
            </c:numRef>
          </c:cat>
          <c:val>
            <c:numRef>
              <c:f>'F 13'!$B$4:$B$15</c:f>
              <c:numCache>
                <c:formatCode>#,##0</c:formatCode>
                <c:ptCount val="12"/>
                <c:pt idx="0">
                  <c:v>-28921</c:v>
                </c:pt>
                <c:pt idx="1">
                  <c:v>5980.89</c:v>
                </c:pt>
                <c:pt idx="2">
                  <c:v>3143.22</c:v>
                </c:pt>
                <c:pt idx="3">
                  <c:v>-4262.01</c:v>
                </c:pt>
                <c:pt idx="4">
                  <c:v>17219.62</c:v>
                </c:pt>
                <c:pt idx="5">
                  <c:v>33980.559999999998</c:v>
                </c:pt>
                <c:pt idx="6">
                  <c:v>21193</c:v>
                </c:pt>
                <c:pt idx="7">
                  <c:v>7920</c:v>
                </c:pt>
                <c:pt idx="8">
                  <c:v>2596</c:v>
                </c:pt>
                <c:pt idx="9">
                  <c:v>-12419</c:v>
                </c:pt>
                <c:pt idx="10">
                  <c:v>-17592</c:v>
                </c:pt>
                <c:pt idx="11">
                  <c:v>7548</c:v>
                </c:pt>
              </c:numCache>
            </c:numRef>
          </c:val>
        </c:ser>
        <c:ser>
          <c:idx val="1"/>
          <c:order val="1"/>
          <c:tx>
            <c:strRef>
              <c:f>'F 13'!$C$3</c:f>
              <c:strCache>
                <c:ptCount val="1"/>
                <c:pt idx="0">
                  <c:v>Debt (LHS)</c:v>
                </c:pt>
              </c:strCache>
            </c:strRef>
          </c:tx>
          <c:spPr>
            <a:solidFill>
              <a:schemeClr val="accent2"/>
            </a:solidFill>
            <a:ln>
              <a:noFill/>
            </a:ln>
            <a:effectLst/>
          </c:spPr>
          <c:invertIfNegative val="0"/>
          <c:cat>
            <c:numRef>
              <c:f>'F 13'!$A$4:$A$15</c:f>
              <c:numCache>
                <c:formatCode>[$-409]mmm\-yy;@</c:formatCode>
                <c:ptCount val="12"/>
                <c:pt idx="0">
                  <c:v>43374</c:v>
                </c:pt>
                <c:pt idx="1">
                  <c:v>43405</c:v>
                </c:pt>
                <c:pt idx="2">
                  <c:v>43435</c:v>
                </c:pt>
                <c:pt idx="3">
                  <c:v>43466</c:v>
                </c:pt>
                <c:pt idx="4">
                  <c:v>43497</c:v>
                </c:pt>
                <c:pt idx="5">
                  <c:v>43525</c:v>
                </c:pt>
                <c:pt idx="6">
                  <c:v>43556</c:v>
                </c:pt>
                <c:pt idx="7">
                  <c:v>43586</c:v>
                </c:pt>
                <c:pt idx="8">
                  <c:v>43626</c:v>
                </c:pt>
                <c:pt idx="9">
                  <c:v>43647</c:v>
                </c:pt>
                <c:pt idx="10">
                  <c:v>43678</c:v>
                </c:pt>
                <c:pt idx="11">
                  <c:v>43709</c:v>
                </c:pt>
              </c:numCache>
            </c:numRef>
          </c:cat>
          <c:val>
            <c:numRef>
              <c:f>'F 13'!$C$4:$C$15</c:f>
              <c:numCache>
                <c:formatCode>#,##0</c:formatCode>
                <c:ptCount val="12"/>
                <c:pt idx="0">
                  <c:v>-9978</c:v>
                </c:pt>
                <c:pt idx="1">
                  <c:v>5610.37</c:v>
                </c:pt>
                <c:pt idx="2">
                  <c:v>4748.63</c:v>
                </c:pt>
                <c:pt idx="3">
                  <c:v>-1300.72</c:v>
                </c:pt>
                <c:pt idx="4">
                  <c:v>-6037.29</c:v>
                </c:pt>
                <c:pt idx="5">
                  <c:v>12001.63</c:v>
                </c:pt>
                <c:pt idx="6">
                  <c:v>-5099</c:v>
                </c:pt>
                <c:pt idx="7">
                  <c:v>1187</c:v>
                </c:pt>
                <c:pt idx="8">
                  <c:v>8319</c:v>
                </c:pt>
                <c:pt idx="9">
                  <c:v>9433</c:v>
                </c:pt>
                <c:pt idx="10">
                  <c:v>11672</c:v>
                </c:pt>
                <c:pt idx="11">
                  <c:v>-990</c:v>
                </c:pt>
              </c:numCache>
            </c:numRef>
          </c:val>
        </c:ser>
        <c:dLbls>
          <c:showLegendKey val="0"/>
          <c:showVal val="0"/>
          <c:showCatName val="0"/>
          <c:showSerName val="0"/>
          <c:showPercent val="0"/>
          <c:showBubbleSize val="0"/>
        </c:dLbls>
        <c:gapWidth val="219"/>
        <c:axId val="472603448"/>
        <c:axId val="472598744"/>
      </c:barChart>
      <c:barChart>
        <c:barDir val="col"/>
        <c:grouping val="clustered"/>
        <c:varyColors val="0"/>
        <c:ser>
          <c:idx val="2"/>
          <c:order val="2"/>
          <c:tx>
            <c:strRef>
              <c:f>'F 13'!$D$3</c:f>
              <c:strCache>
                <c:ptCount val="1"/>
                <c:pt idx="0">
                  <c:v>Hybrid (RHS)</c:v>
                </c:pt>
              </c:strCache>
            </c:strRef>
          </c:tx>
          <c:spPr>
            <a:solidFill>
              <a:schemeClr val="accent3"/>
            </a:solidFill>
            <a:ln>
              <a:noFill/>
            </a:ln>
            <a:effectLst/>
          </c:spPr>
          <c:invertIfNegative val="0"/>
          <c:cat>
            <c:numRef>
              <c:f>'F 13'!$A$4:$A$15</c:f>
              <c:numCache>
                <c:formatCode>[$-409]mmm\-yy;@</c:formatCode>
                <c:ptCount val="12"/>
                <c:pt idx="0">
                  <c:v>43374</c:v>
                </c:pt>
                <c:pt idx="1">
                  <c:v>43405</c:v>
                </c:pt>
                <c:pt idx="2">
                  <c:v>43435</c:v>
                </c:pt>
                <c:pt idx="3">
                  <c:v>43466</c:v>
                </c:pt>
                <c:pt idx="4">
                  <c:v>43497</c:v>
                </c:pt>
                <c:pt idx="5">
                  <c:v>43525</c:v>
                </c:pt>
                <c:pt idx="6">
                  <c:v>43556</c:v>
                </c:pt>
                <c:pt idx="7">
                  <c:v>43586</c:v>
                </c:pt>
                <c:pt idx="8">
                  <c:v>43626</c:v>
                </c:pt>
                <c:pt idx="9">
                  <c:v>43647</c:v>
                </c:pt>
                <c:pt idx="10">
                  <c:v>43678</c:v>
                </c:pt>
                <c:pt idx="11">
                  <c:v>43709</c:v>
                </c:pt>
              </c:numCache>
            </c:numRef>
          </c:cat>
          <c:val>
            <c:numRef>
              <c:f>'F 13'!$D$4:$D$15</c:f>
              <c:numCache>
                <c:formatCode>#,##0</c:formatCode>
                <c:ptCount val="12"/>
                <c:pt idx="0">
                  <c:v>-6</c:v>
                </c:pt>
                <c:pt idx="1">
                  <c:v>3.8</c:v>
                </c:pt>
                <c:pt idx="2">
                  <c:v>-2.66</c:v>
                </c:pt>
                <c:pt idx="3">
                  <c:v>6.51</c:v>
                </c:pt>
                <c:pt idx="4">
                  <c:v>870.56</c:v>
                </c:pt>
                <c:pt idx="5">
                  <c:v>2768.54</c:v>
                </c:pt>
                <c:pt idx="6">
                  <c:v>634</c:v>
                </c:pt>
                <c:pt idx="7">
                  <c:v>2264</c:v>
                </c:pt>
                <c:pt idx="8">
                  <c:v>2196</c:v>
                </c:pt>
                <c:pt idx="9">
                  <c:v>-17</c:v>
                </c:pt>
                <c:pt idx="10">
                  <c:v>49</c:v>
                </c:pt>
                <c:pt idx="11">
                  <c:v>25</c:v>
                </c:pt>
              </c:numCache>
            </c:numRef>
          </c:val>
        </c:ser>
        <c:dLbls>
          <c:showLegendKey val="0"/>
          <c:showVal val="0"/>
          <c:showCatName val="0"/>
          <c:showSerName val="0"/>
          <c:showPercent val="0"/>
          <c:showBubbleSize val="0"/>
        </c:dLbls>
        <c:gapWidth val="219"/>
        <c:axId val="472592472"/>
        <c:axId val="472595216"/>
      </c:barChart>
      <c:lineChart>
        <c:grouping val="standard"/>
        <c:varyColors val="0"/>
        <c:ser>
          <c:idx val="3"/>
          <c:order val="3"/>
          <c:tx>
            <c:strRef>
              <c:f>'F 13'!$E$3</c:f>
              <c:strCache>
                <c:ptCount val="1"/>
                <c:pt idx="0">
                  <c:v>Total (LHS)</c:v>
                </c:pt>
              </c:strCache>
            </c:strRef>
          </c:tx>
          <c:spPr>
            <a:ln w="28575" cap="rnd">
              <a:solidFill>
                <a:schemeClr val="accent4"/>
              </a:solidFill>
              <a:round/>
            </a:ln>
            <a:effectLst/>
          </c:spPr>
          <c:marker>
            <c:symbol val="none"/>
          </c:marker>
          <c:cat>
            <c:numRef>
              <c:f>'F 13'!$A$4:$A$15</c:f>
              <c:numCache>
                <c:formatCode>[$-409]mmm\-yy;@</c:formatCode>
                <c:ptCount val="12"/>
                <c:pt idx="0">
                  <c:v>43374</c:v>
                </c:pt>
                <c:pt idx="1">
                  <c:v>43405</c:v>
                </c:pt>
                <c:pt idx="2">
                  <c:v>43435</c:v>
                </c:pt>
                <c:pt idx="3">
                  <c:v>43466</c:v>
                </c:pt>
                <c:pt idx="4">
                  <c:v>43497</c:v>
                </c:pt>
                <c:pt idx="5">
                  <c:v>43525</c:v>
                </c:pt>
                <c:pt idx="6">
                  <c:v>43556</c:v>
                </c:pt>
                <c:pt idx="7">
                  <c:v>43586</c:v>
                </c:pt>
                <c:pt idx="8">
                  <c:v>43626</c:v>
                </c:pt>
                <c:pt idx="9">
                  <c:v>43647</c:v>
                </c:pt>
                <c:pt idx="10">
                  <c:v>43678</c:v>
                </c:pt>
                <c:pt idx="11">
                  <c:v>43709</c:v>
                </c:pt>
              </c:numCache>
            </c:numRef>
          </c:cat>
          <c:val>
            <c:numRef>
              <c:f>'F 13'!$E$4:$E$15</c:f>
              <c:numCache>
                <c:formatCode>#,##0</c:formatCode>
                <c:ptCount val="12"/>
                <c:pt idx="0">
                  <c:v>-38905</c:v>
                </c:pt>
                <c:pt idx="1">
                  <c:v>11595.06</c:v>
                </c:pt>
                <c:pt idx="2">
                  <c:v>7889.1900000000005</c:v>
                </c:pt>
                <c:pt idx="3">
                  <c:v>-5556.22</c:v>
                </c:pt>
                <c:pt idx="4">
                  <c:v>12052.889999999998</c:v>
                </c:pt>
                <c:pt idx="5">
                  <c:v>48750.729999999996</c:v>
                </c:pt>
                <c:pt idx="6">
                  <c:v>16728</c:v>
                </c:pt>
                <c:pt idx="7">
                  <c:v>11370</c:v>
                </c:pt>
                <c:pt idx="8">
                  <c:v>13111</c:v>
                </c:pt>
                <c:pt idx="9">
                  <c:v>-3003</c:v>
                </c:pt>
                <c:pt idx="10">
                  <c:v>-5871</c:v>
                </c:pt>
                <c:pt idx="11">
                  <c:v>6582</c:v>
                </c:pt>
              </c:numCache>
            </c:numRef>
          </c:val>
          <c:smooth val="0"/>
        </c:ser>
        <c:dLbls>
          <c:showLegendKey val="0"/>
          <c:showVal val="0"/>
          <c:showCatName val="0"/>
          <c:showSerName val="0"/>
          <c:showPercent val="0"/>
          <c:showBubbleSize val="0"/>
        </c:dLbls>
        <c:marker val="1"/>
        <c:smooth val="0"/>
        <c:axId val="472603448"/>
        <c:axId val="472598744"/>
      </c:lineChart>
      <c:dateAx>
        <c:axId val="472603448"/>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72598744"/>
        <c:crosses val="autoZero"/>
        <c:auto val="1"/>
        <c:lblOffset val="100"/>
        <c:baseTimeUnit val="months"/>
      </c:dateAx>
      <c:valAx>
        <c:axId val="472598744"/>
        <c:scaling>
          <c:orientation val="minMax"/>
          <c:max val="50000"/>
          <c:min val="-4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72603448"/>
        <c:crosses val="autoZero"/>
        <c:crossBetween val="between"/>
      </c:valAx>
      <c:valAx>
        <c:axId val="472595216"/>
        <c:scaling>
          <c:orientation val="minMax"/>
          <c:min val="-30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72592472"/>
        <c:crosses val="max"/>
        <c:crossBetween val="between"/>
      </c:valAx>
      <c:dateAx>
        <c:axId val="472592472"/>
        <c:scaling>
          <c:orientation val="minMax"/>
        </c:scaling>
        <c:delete val="1"/>
        <c:axPos val="b"/>
        <c:numFmt formatCode="[$-409]mmm\-yy;@" sourceLinked="1"/>
        <c:majorTickMark val="out"/>
        <c:minorTickMark val="none"/>
        <c:tickLblPos val="nextTo"/>
        <c:crossAx val="472595216"/>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0817191440212"/>
          <c:y val="3.7422004778294632E-2"/>
          <c:w val="0.80321091036782566"/>
          <c:h val="0.62501210953780995"/>
        </c:manualLayout>
      </c:layout>
      <c:barChart>
        <c:barDir val="col"/>
        <c:grouping val="clustered"/>
        <c:varyColors val="0"/>
        <c:ser>
          <c:idx val="0"/>
          <c:order val="0"/>
          <c:tx>
            <c:strRef>
              <c:f>'F14'!$B$5</c:f>
              <c:strCache>
                <c:ptCount val="1"/>
                <c:pt idx="0">
                  <c:v>Amount (` crore) - (LHS)</c:v>
                </c:pt>
              </c:strCache>
            </c:strRef>
          </c:tx>
          <c:spPr>
            <a:solidFill>
              <a:schemeClr val="accent6">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'F14'!$A$6:$A$17</c:f>
              <c:numCache>
                <c:formatCode>[$-409]mmm\-yy;@</c:formatCode>
                <c:ptCount val="12"/>
                <c:pt idx="0">
                  <c:v>43402</c:v>
                </c:pt>
                <c:pt idx="1">
                  <c:v>43433</c:v>
                </c:pt>
                <c:pt idx="2">
                  <c:v>43463</c:v>
                </c:pt>
                <c:pt idx="3">
                  <c:v>43494</c:v>
                </c:pt>
                <c:pt idx="4">
                  <c:v>43524</c:v>
                </c:pt>
                <c:pt idx="5">
                  <c:v>43554</c:v>
                </c:pt>
                <c:pt idx="6">
                  <c:v>43584</c:v>
                </c:pt>
                <c:pt idx="7">
                  <c:v>43614</c:v>
                </c:pt>
                <c:pt idx="8">
                  <c:v>43626</c:v>
                </c:pt>
                <c:pt idx="9">
                  <c:v>43656</c:v>
                </c:pt>
                <c:pt idx="10">
                  <c:v>43687</c:v>
                </c:pt>
                <c:pt idx="11">
                  <c:v>43718</c:v>
                </c:pt>
              </c:numCache>
            </c:numRef>
          </c:cat>
          <c:val>
            <c:numRef>
              <c:f>'F14'!$B$6:$B$17</c:f>
              <c:numCache>
                <c:formatCode>[&gt;=10000000]#.#\,##\,##0;[&gt;=100000]#.#\,##0;##,##0</c:formatCode>
                <c:ptCount val="12"/>
                <c:pt idx="0">
                  <c:v>70.56</c:v>
                </c:pt>
                <c:pt idx="1">
                  <c:v>651</c:v>
                </c:pt>
                <c:pt idx="2">
                  <c:v>43</c:v>
                </c:pt>
                <c:pt idx="3">
                  <c:v>16479</c:v>
                </c:pt>
                <c:pt idx="4">
                  <c:v>3027.97</c:v>
                </c:pt>
                <c:pt idx="5">
                  <c:v>47</c:v>
                </c:pt>
                <c:pt idx="6">
                  <c:v>56.37</c:v>
                </c:pt>
                <c:pt idx="7">
                  <c:v>249.17</c:v>
                </c:pt>
                <c:pt idx="8">
                  <c:v>5181.32</c:v>
                </c:pt>
                <c:pt idx="9" formatCode="#,##0;\-#,##0;0.0">
                  <c:v>2868.44</c:v>
                </c:pt>
                <c:pt idx="10" formatCode="#,##0;\-#,##0;0.0">
                  <c:v>4732.63</c:v>
                </c:pt>
                <c:pt idx="11" formatCode="#,##0;\-#,##0;0.0">
                  <c:v>1502.41</c:v>
                </c:pt>
              </c:numCache>
            </c:numRef>
          </c:val>
        </c:ser>
        <c:dLbls>
          <c:showLegendKey val="0"/>
          <c:showVal val="0"/>
          <c:showCatName val="0"/>
          <c:showSerName val="0"/>
          <c:showPercent val="0"/>
          <c:showBubbleSize val="0"/>
        </c:dLbls>
        <c:gapWidth val="219"/>
        <c:overlap val="-27"/>
        <c:axId val="472593256"/>
        <c:axId val="472599136"/>
      </c:barChart>
      <c:lineChart>
        <c:grouping val="standard"/>
        <c:varyColors val="0"/>
        <c:ser>
          <c:idx val="1"/>
          <c:order val="1"/>
          <c:tx>
            <c:strRef>
              <c:f>'F14'!$C$5</c:f>
              <c:strCache>
                <c:ptCount val="1"/>
                <c:pt idx="0">
                  <c:v>Number of Open Offers - (RHS)</c:v>
                </c:pt>
              </c:strCache>
            </c:strRef>
          </c:tx>
          <c:spPr>
            <a:ln w="28575" cap="rnd">
              <a:solidFill>
                <a:schemeClr val="tx2">
                  <a:lumMod val="60000"/>
                  <a:lumOff val="40000"/>
                </a:schemeClr>
              </a:solidFill>
              <a:round/>
            </a:ln>
            <a:effectLst/>
          </c:spPr>
          <c:marker>
            <c:symbol val="none"/>
          </c:marker>
          <c:cat>
            <c:numRef>
              <c:f>'F14'!$A$6:$A$17</c:f>
              <c:numCache>
                <c:formatCode>[$-409]mmm\-yy;@</c:formatCode>
                <c:ptCount val="12"/>
                <c:pt idx="0">
                  <c:v>43402</c:v>
                </c:pt>
                <c:pt idx="1">
                  <c:v>43433</c:v>
                </c:pt>
                <c:pt idx="2">
                  <c:v>43463</c:v>
                </c:pt>
                <c:pt idx="3">
                  <c:v>43494</c:v>
                </c:pt>
                <c:pt idx="4">
                  <c:v>43524</c:v>
                </c:pt>
                <c:pt idx="5">
                  <c:v>43554</c:v>
                </c:pt>
                <c:pt idx="6">
                  <c:v>43584</c:v>
                </c:pt>
                <c:pt idx="7">
                  <c:v>43614</c:v>
                </c:pt>
                <c:pt idx="8">
                  <c:v>43626</c:v>
                </c:pt>
                <c:pt idx="9">
                  <c:v>43656</c:v>
                </c:pt>
                <c:pt idx="10">
                  <c:v>43687</c:v>
                </c:pt>
                <c:pt idx="11">
                  <c:v>43718</c:v>
                </c:pt>
              </c:numCache>
            </c:numRef>
          </c:cat>
          <c:val>
            <c:numRef>
              <c:f>'F14'!$C$6:$C$17</c:f>
              <c:numCache>
                <c:formatCode>[&gt;=10000000]#.##\,##\,##0;[&gt;=100000]#.##\,##0;##,##0</c:formatCode>
                <c:ptCount val="12"/>
                <c:pt idx="0">
                  <c:v>2</c:v>
                </c:pt>
                <c:pt idx="1">
                  <c:v>4</c:v>
                </c:pt>
                <c:pt idx="2">
                  <c:v>9</c:v>
                </c:pt>
                <c:pt idx="3">
                  <c:v>6</c:v>
                </c:pt>
                <c:pt idx="4">
                  <c:v>5</c:v>
                </c:pt>
                <c:pt idx="5">
                  <c:v>1</c:v>
                </c:pt>
                <c:pt idx="6">
                  <c:v>4</c:v>
                </c:pt>
                <c:pt idx="7">
                  <c:v>5</c:v>
                </c:pt>
                <c:pt idx="8">
                  <c:v>4</c:v>
                </c:pt>
                <c:pt idx="9">
                  <c:v>6</c:v>
                </c:pt>
                <c:pt idx="10">
                  <c:v>5</c:v>
                </c:pt>
                <c:pt idx="11">
                  <c:v>12</c:v>
                </c:pt>
              </c:numCache>
            </c:numRef>
          </c:val>
          <c:smooth val="0"/>
        </c:ser>
        <c:dLbls>
          <c:showLegendKey val="0"/>
          <c:showVal val="0"/>
          <c:showCatName val="0"/>
          <c:showSerName val="0"/>
          <c:showPercent val="0"/>
          <c:showBubbleSize val="0"/>
        </c:dLbls>
        <c:marker val="1"/>
        <c:smooth val="0"/>
        <c:axId val="472606584"/>
        <c:axId val="472606976"/>
      </c:lineChart>
      <c:dateAx>
        <c:axId val="472593256"/>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72599136"/>
        <c:crosses val="autoZero"/>
        <c:auto val="1"/>
        <c:lblOffset val="100"/>
        <c:baseTimeUnit val="months"/>
      </c:dateAx>
      <c:valAx>
        <c:axId val="472599136"/>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593256"/>
        <c:crosses val="autoZero"/>
        <c:crossBetween val="between"/>
        <c:majorUnit val="2000"/>
      </c:valAx>
      <c:valAx>
        <c:axId val="472606976"/>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606584"/>
        <c:crosses val="max"/>
        <c:crossBetween val="between"/>
        <c:majorUnit val="4"/>
      </c:valAx>
      <c:dateAx>
        <c:axId val="472606584"/>
        <c:scaling>
          <c:orientation val="minMax"/>
        </c:scaling>
        <c:delete val="1"/>
        <c:axPos val="b"/>
        <c:numFmt formatCode="[$-409]mmm\-yy;@" sourceLinked="1"/>
        <c:majorTickMark val="out"/>
        <c:minorTickMark val="none"/>
        <c:tickLblPos val="nextTo"/>
        <c:crossAx val="472606976"/>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v>Nkrishi Index (LHS)</c:v>
          </c:tx>
          <c:spPr>
            <a:ln w="31750" cap="rnd">
              <a:solidFill>
                <a:schemeClr val="accent2"/>
              </a:solidFill>
              <a:round/>
            </a:ln>
            <a:effectLst>
              <a:outerShdw blurRad="40000" dist="23000" dir="5400000" rotWithShape="0">
                <a:srgbClr val="000000">
                  <a:alpha val="35000"/>
                </a:srgbClr>
              </a:outerShdw>
            </a:effectLst>
          </c:spPr>
          <c:marker>
            <c:symbol val="none"/>
          </c:marker>
          <c:cat>
            <c:numRef>
              <c:f>'Icomdex comp -MCX &amp;Nkrish index'!$A$89:$A$345</c:f>
              <c:numCache>
                <c:formatCode>d\-mmm\-yy</c:formatCode>
                <c:ptCount val="257"/>
                <c:pt idx="0">
                  <c:v>43374</c:v>
                </c:pt>
                <c:pt idx="1">
                  <c:v>43376</c:v>
                </c:pt>
                <c:pt idx="2">
                  <c:v>43377</c:v>
                </c:pt>
                <c:pt idx="3">
                  <c:v>43378</c:v>
                </c:pt>
                <c:pt idx="4">
                  <c:v>43381</c:v>
                </c:pt>
                <c:pt idx="5">
                  <c:v>43382</c:v>
                </c:pt>
                <c:pt idx="6">
                  <c:v>43383</c:v>
                </c:pt>
                <c:pt idx="7">
                  <c:v>43384</c:v>
                </c:pt>
                <c:pt idx="8">
                  <c:v>43385</c:v>
                </c:pt>
                <c:pt idx="9">
                  <c:v>43388</c:v>
                </c:pt>
                <c:pt idx="10">
                  <c:v>43389</c:v>
                </c:pt>
                <c:pt idx="11">
                  <c:v>43390</c:v>
                </c:pt>
                <c:pt idx="12">
                  <c:v>43391</c:v>
                </c:pt>
                <c:pt idx="13">
                  <c:v>43392</c:v>
                </c:pt>
                <c:pt idx="14">
                  <c:v>43395</c:v>
                </c:pt>
                <c:pt idx="15">
                  <c:v>43396</c:v>
                </c:pt>
                <c:pt idx="16">
                  <c:v>43397</c:v>
                </c:pt>
                <c:pt idx="17">
                  <c:v>43398</c:v>
                </c:pt>
                <c:pt idx="18">
                  <c:v>43399</c:v>
                </c:pt>
                <c:pt idx="19">
                  <c:v>43402</c:v>
                </c:pt>
                <c:pt idx="20">
                  <c:v>43403</c:v>
                </c:pt>
                <c:pt idx="21">
                  <c:v>43404</c:v>
                </c:pt>
                <c:pt idx="22">
                  <c:v>43405</c:v>
                </c:pt>
                <c:pt idx="23">
                  <c:v>43406</c:v>
                </c:pt>
                <c:pt idx="24">
                  <c:v>43409</c:v>
                </c:pt>
                <c:pt idx="25">
                  <c:v>43410</c:v>
                </c:pt>
                <c:pt idx="26">
                  <c:v>43411</c:v>
                </c:pt>
                <c:pt idx="27">
                  <c:v>43412</c:v>
                </c:pt>
                <c:pt idx="28">
                  <c:v>43413</c:v>
                </c:pt>
                <c:pt idx="29">
                  <c:v>43416</c:v>
                </c:pt>
                <c:pt idx="30">
                  <c:v>43417</c:v>
                </c:pt>
                <c:pt idx="31">
                  <c:v>43418</c:v>
                </c:pt>
                <c:pt idx="32">
                  <c:v>43419</c:v>
                </c:pt>
                <c:pt idx="33">
                  <c:v>43420</c:v>
                </c:pt>
                <c:pt idx="34">
                  <c:v>43423</c:v>
                </c:pt>
                <c:pt idx="35">
                  <c:v>43424</c:v>
                </c:pt>
                <c:pt idx="36">
                  <c:v>43425</c:v>
                </c:pt>
                <c:pt idx="37">
                  <c:v>43426</c:v>
                </c:pt>
                <c:pt idx="38">
                  <c:v>43427</c:v>
                </c:pt>
                <c:pt idx="39">
                  <c:v>43430</c:v>
                </c:pt>
                <c:pt idx="40">
                  <c:v>43431</c:v>
                </c:pt>
                <c:pt idx="41">
                  <c:v>43432</c:v>
                </c:pt>
                <c:pt idx="42">
                  <c:v>43433</c:v>
                </c:pt>
                <c:pt idx="43">
                  <c:v>43434</c:v>
                </c:pt>
                <c:pt idx="44">
                  <c:v>43437</c:v>
                </c:pt>
                <c:pt idx="45">
                  <c:v>43438</c:v>
                </c:pt>
                <c:pt idx="46">
                  <c:v>43439</c:v>
                </c:pt>
                <c:pt idx="47">
                  <c:v>43440</c:v>
                </c:pt>
                <c:pt idx="48">
                  <c:v>43441</c:v>
                </c:pt>
                <c:pt idx="49">
                  <c:v>43444</c:v>
                </c:pt>
                <c:pt idx="50">
                  <c:v>43445</c:v>
                </c:pt>
                <c:pt idx="51">
                  <c:v>43446</c:v>
                </c:pt>
                <c:pt idx="52">
                  <c:v>43447</c:v>
                </c:pt>
                <c:pt idx="53">
                  <c:v>43448</c:v>
                </c:pt>
                <c:pt idx="54">
                  <c:v>43451</c:v>
                </c:pt>
                <c:pt idx="55">
                  <c:v>43452</c:v>
                </c:pt>
                <c:pt idx="56">
                  <c:v>43453</c:v>
                </c:pt>
                <c:pt idx="57">
                  <c:v>43454</c:v>
                </c:pt>
                <c:pt idx="58">
                  <c:v>43455</c:v>
                </c:pt>
                <c:pt idx="59">
                  <c:v>43458</c:v>
                </c:pt>
                <c:pt idx="60">
                  <c:v>43460</c:v>
                </c:pt>
                <c:pt idx="61">
                  <c:v>43461</c:v>
                </c:pt>
                <c:pt idx="62">
                  <c:v>43462</c:v>
                </c:pt>
                <c:pt idx="63">
                  <c:v>43465</c:v>
                </c:pt>
                <c:pt idx="64">
                  <c:v>43466</c:v>
                </c:pt>
                <c:pt idx="65">
                  <c:v>43467</c:v>
                </c:pt>
                <c:pt idx="66">
                  <c:v>43468</c:v>
                </c:pt>
                <c:pt idx="67">
                  <c:v>43469</c:v>
                </c:pt>
                <c:pt idx="68">
                  <c:v>43472</c:v>
                </c:pt>
                <c:pt idx="69">
                  <c:v>43473</c:v>
                </c:pt>
                <c:pt idx="70">
                  <c:v>43474</c:v>
                </c:pt>
                <c:pt idx="71">
                  <c:v>43475</c:v>
                </c:pt>
                <c:pt idx="72">
                  <c:v>43476</c:v>
                </c:pt>
                <c:pt idx="73">
                  <c:v>43479</c:v>
                </c:pt>
                <c:pt idx="74">
                  <c:v>43480</c:v>
                </c:pt>
                <c:pt idx="75">
                  <c:v>43481</c:v>
                </c:pt>
                <c:pt idx="76">
                  <c:v>43482</c:v>
                </c:pt>
                <c:pt idx="77">
                  <c:v>43483</c:v>
                </c:pt>
                <c:pt idx="78">
                  <c:v>43486</c:v>
                </c:pt>
                <c:pt idx="79">
                  <c:v>43487</c:v>
                </c:pt>
                <c:pt idx="80">
                  <c:v>43488</c:v>
                </c:pt>
                <c:pt idx="81">
                  <c:v>43489</c:v>
                </c:pt>
                <c:pt idx="82">
                  <c:v>43490</c:v>
                </c:pt>
                <c:pt idx="83">
                  <c:v>43493</c:v>
                </c:pt>
                <c:pt idx="84">
                  <c:v>43494</c:v>
                </c:pt>
                <c:pt idx="85">
                  <c:v>43495</c:v>
                </c:pt>
                <c:pt idx="86">
                  <c:v>43496</c:v>
                </c:pt>
                <c:pt idx="87">
                  <c:v>43497</c:v>
                </c:pt>
                <c:pt idx="88">
                  <c:v>43500</c:v>
                </c:pt>
                <c:pt idx="89">
                  <c:v>43501</c:v>
                </c:pt>
                <c:pt idx="90">
                  <c:v>43502</c:v>
                </c:pt>
                <c:pt idx="91">
                  <c:v>43503</c:v>
                </c:pt>
                <c:pt idx="92">
                  <c:v>43504</c:v>
                </c:pt>
                <c:pt idx="93">
                  <c:v>43507</c:v>
                </c:pt>
                <c:pt idx="94">
                  <c:v>43508</c:v>
                </c:pt>
                <c:pt idx="95">
                  <c:v>43509</c:v>
                </c:pt>
                <c:pt idx="96">
                  <c:v>43510</c:v>
                </c:pt>
                <c:pt idx="97">
                  <c:v>43511</c:v>
                </c:pt>
                <c:pt idx="98">
                  <c:v>43514</c:v>
                </c:pt>
                <c:pt idx="99">
                  <c:v>43515</c:v>
                </c:pt>
                <c:pt idx="100">
                  <c:v>43516</c:v>
                </c:pt>
                <c:pt idx="101">
                  <c:v>43517</c:v>
                </c:pt>
                <c:pt idx="102">
                  <c:v>43518</c:v>
                </c:pt>
                <c:pt idx="103">
                  <c:v>43521</c:v>
                </c:pt>
                <c:pt idx="104">
                  <c:v>43522</c:v>
                </c:pt>
                <c:pt idx="105">
                  <c:v>43523</c:v>
                </c:pt>
                <c:pt idx="106">
                  <c:v>43524</c:v>
                </c:pt>
                <c:pt idx="107">
                  <c:v>43525</c:v>
                </c:pt>
                <c:pt idx="108">
                  <c:v>43528</c:v>
                </c:pt>
                <c:pt idx="109">
                  <c:v>43529</c:v>
                </c:pt>
                <c:pt idx="110">
                  <c:v>43530</c:v>
                </c:pt>
                <c:pt idx="111">
                  <c:v>43531</c:v>
                </c:pt>
                <c:pt idx="112">
                  <c:v>43532</c:v>
                </c:pt>
                <c:pt idx="113">
                  <c:v>43535</c:v>
                </c:pt>
                <c:pt idx="114">
                  <c:v>43536</c:v>
                </c:pt>
                <c:pt idx="115">
                  <c:v>43537</c:v>
                </c:pt>
                <c:pt idx="116">
                  <c:v>43538</c:v>
                </c:pt>
                <c:pt idx="117">
                  <c:v>43539</c:v>
                </c:pt>
                <c:pt idx="118">
                  <c:v>43542</c:v>
                </c:pt>
                <c:pt idx="119">
                  <c:v>43543</c:v>
                </c:pt>
                <c:pt idx="120">
                  <c:v>43544</c:v>
                </c:pt>
                <c:pt idx="121">
                  <c:v>43545</c:v>
                </c:pt>
                <c:pt idx="122">
                  <c:v>43546</c:v>
                </c:pt>
                <c:pt idx="123">
                  <c:v>43549</c:v>
                </c:pt>
                <c:pt idx="124">
                  <c:v>43550</c:v>
                </c:pt>
                <c:pt idx="125">
                  <c:v>43551</c:v>
                </c:pt>
                <c:pt idx="126">
                  <c:v>43552</c:v>
                </c:pt>
                <c:pt idx="127">
                  <c:v>43553</c:v>
                </c:pt>
                <c:pt idx="128">
                  <c:v>43556</c:v>
                </c:pt>
                <c:pt idx="129">
                  <c:v>43557</c:v>
                </c:pt>
                <c:pt idx="130">
                  <c:v>43558</c:v>
                </c:pt>
                <c:pt idx="131">
                  <c:v>43559</c:v>
                </c:pt>
                <c:pt idx="132">
                  <c:v>43560</c:v>
                </c:pt>
                <c:pt idx="133">
                  <c:v>43563</c:v>
                </c:pt>
                <c:pt idx="134">
                  <c:v>43564</c:v>
                </c:pt>
                <c:pt idx="135">
                  <c:v>43565</c:v>
                </c:pt>
                <c:pt idx="136">
                  <c:v>43566</c:v>
                </c:pt>
                <c:pt idx="137">
                  <c:v>43567</c:v>
                </c:pt>
                <c:pt idx="138">
                  <c:v>43570</c:v>
                </c:pt>
                <c:pt idx="139">
                  <c:v>43571</c:v>
                </c:pt>
                <c:pt idx="140">
                  <c:v>43572</c:v>
                </c:pt>
                <c:pt idx="141">
                  <c:v>43573</c:v>
                </c:pt>
                <c:pt idx="142">
                  <c:v>43577</c:v>
                </c:pt>
                <c:pt idx="143">
                  <c:v>43578</c:v>
                </c:pt>
                <c:pt idx="144">
                  <c:v>43579</c:v>
                </c:pt>
                <c:pt idx="145">
                  <c:v>43580</c:v>
                </c:pt>
                <c:pt idx="146">
                  <c:v>43581</c:v>
                </c:pt>
                <c:pt idx="147">
                  <c:v>43585</c:v>
                </c:pt>
                <c:pt idx="148">
                  <c:v>43586</c:v>
                </c:pt>
                <c:pt idx="149">
                  <c:v>43587</c:v>
                </c:pt>
                <c:pt idx="150">
                  <c:v>43588</c:v>
                </c:pt>
                <c:pt idx="151">
                  <c:v>43591</c:v>
                </c:pt>
                <c:pt idx="152">
                  <c:v>43592</c:v>
                </c:pt>
                <c:pt idx="153">
                  <c:v>43593</c:v>
                </c:pt>
                <c:pt idx="154">
                  <c:v>43594</c:v>
                </c:pt>
                <c:pt idx="155">
                  <c:v>43595</c:v>
                </c:pt>
                <c:pt idx="156">
                  <c:v>43598</c:v>
                </c:pt>
                <c:pt idx="157">
                  <c:v>43599</c:v>
                </c:pt>
                <c:pt idx="158">
                  <c:v>43600</c:v>
                </c:pt>
                <c:pt idx="159">
                  <c:v>43601</c:v>
                </c:pt>
                <c:pt idx="160">
                  <c:v>43602</c:v>
                </c:pt>
                <c:pt idx="161">
                  <c:v>43605</c:v>
                </c:pt>
                <c:pt idx="162">
                  <c:v>43606</c:v>
                </c:pt>
                <c:pt idx="163">
                  <c:v>43607</c:v>
                </c:pt>
                <c:pt idx="164">
                  <c:v>43608</c:v>
                </c:pt>
                <c:pt idx="165">
                  <c:v>43609</c:v>
                </c:pt>
                <c:pt idx="166">
                  <c:v>43612</c:v>
                </c:pt>
                <c:pt idx="167">
                  <c:v>43613</c:v>
                </c:pt>
                <c:pt idx="168">
                  <c:v>43614</c:v>
                </c:pt>
                <c:pt idx="169">
                  <c:v>43615</c:v>
                </c:pt>
                <c:pt idx="170">
                  <c:v>43616</c:v>
                </c:pt>
                <c:pt idx="171">
                  <c:v>43619</c:v>
                </c:pt>
                <c:pt idx="172">
                  <c:v>43620</c:v>
                </c:pt>
                <c:pt idx="173">
                  <c:v>43621</c:v>
                </c:pt>
                <c:pt idx="174">
                  <c:v>43622</c:v>
                </c:pt>
                <c:pt idx="175">
                  <c:v>43623</c:v>
                </c:pt>
                <c:pt idx="176">
                  <c:v>43626</c:v>
                </c:pt>
                <c:pt idx="177">
                  <c:v>43627</c:v>
                </c:pt>
                <c:pt idx="178">
                  <c:v>43628</c:v>
                </c:pt>
                <c:pt idx="179">
                  <c:v>43629</c:v>
                </c:pt>
                <c:pt idx="180">
                  <c:v>43630</c:v>
                </c:pt>
                <c:pt idx="181">
                  <c:v>43633</c:v>
                </c:pt>
                <c:pt idx="182">
                  <c:v>43634</c:v>
                </c:pt>
                <c:pt idx="183">
                  <c:v>43635</c:v>
                </c:pt>
                <c:pt idx="184">
                  <c:v>43636</c:v>
                </c:pt>
                <c:pt idx="185">
                  <c:v>43637</c:v>
                </c:pt>
                <c:pt idx="186">
                  <c:v>43640</c:v>
                </c:pt>
                <c:pt idx="187">
                  <c:v>43641</c:v>
                </c:pt>
                <c:pt idx="188">
                  <c:v>43642</c:v>
                </c:pt>
                <c:pt idx="189">
                  <c:v>43643</c:v>
                </c:pt>
                <c:pt idx="190">
                  <c:v>43644</c:v>
                </c:pt>
                <c:pt idx="191">
                  <c:v>43647</c:v>
                </c:pt>
                <c:pt idx="192">
                  <c:v>43648</c:v>
                </c:pt>
                <c:pt idx="193">
                  <c:v>43649</c:v>
                </c:pt>
                <c:pt idx="194">
                  <c:v>43650</c:v>
                </c:pt>
                <c:pt idx="195">
                  <c:v>43651</c:v>
                </c:pt>
                <c:pt idx="196">
                  <c:v>43654</c:v>
                </c:pt>
                <c:pt idx="197">
                  <c:v>43655</c:v>
                </c:pt>
                <c:pt idx="198">
                  <c:v>43656</c:v>
                </c:pt>
                <c:pt idx="199">
                  <c:v>43657</c:v>
                </c:pt>
                <c:pt idx="200">
                  <c:v>43658</c:v>
                </c:pt>
                <c:pt idx="201">
                  <c:v>43661</c:v>
                </c:pt>
                <c:pt idx="202">
                  <c:v>43662</c:v>
                </c:pt>
                <c:pt idx="203">
                  <c:v>43663</c:v>
                </c:pt>
                <c:pt idx="204">
                  <c:v>43664</c:v>
                </c:pt>
                <c:pt idx="205">
                  <c:v>43665</c:v>
                </c:pt>
                <c:pt idx="206">
                  <c:v>43668</c:v>
                </c:pt>
                <c:pt idx="207">
                  <c:v>43669</c:v>
                </c:pt>
                <c:pt idx="208">
                  <c:v>43670</c:v>
                </c:pt>
                <c:pt idx="209">
                  <c:v>43671</c:v>
                </c:pt>
                <c:pt idx="210">
                  <c:v>43672</c:v>
                </c:pt>
                <c:pt idx="211">
                  <c:v>43675</c:v>
                </c:pt>
                <c:pt idx="212">
                  <c:v>43676</c:v>
                </c:pt>
                <c:pt idx="213">
                  <c:v>43677</c:v>
                </c:pt>
                <c:pt idx="214">
                  <c:v>43678</c:v>
                </c:pt>
                <c:pt idx="215">
                  <c:v>43679</c:v>
                </c:pt>
                <c:pt idx="216">
                  <c:v>43682</c:v>
                </c:pt>
                <c:pt idx="217">
                  <c:v>43683</c:v>
                </c:pt>
                <c:pt idx="218">
                  <c:v>43684</c:v>
                </c:pt>
                <c:pt idx="219">
                  <c:v>43685</c:v>
                </c:pt>
                <c:pt idx="220">
                  <c:v>43686</c:v>
                </c:pt>
                <c:pt idx="221">
                  <c:v>43689</c:v>
                </c:pt>
                <c:pt idx="222">
                  <c:v>43690</c:v>
                </c:pt>
                <c:pt idx="223">
                  <c:v>43691</c:v>
                </c:pt>
                <c:pt idx="224">
                  <c:v>43692</c:v>
                </c:pt>
                <c:pt idx="225">
                  <c:v>43693</c:v>
                </c:pt>
                <c:pt idx="226">
                  <c:v>43696</c:v>
                </c:pt>
                <c:pt idx="227">
                  <c:v>43697</c:v>
                </c:pt>
                <c:pt idx="228">
                  <c:v>43698</c:v>
                </c:pt>
                <c:pt idx="229">
                  <c:v>43699</c:v>
                </c:pt>
                <c:pt idx="230">
                  <c:v>43700</c:v>
                </c:pt>
                <c:pt idx="231">
                  <c:v>43703</c:v>
                </c:pt>
                <c:pt idx="232">
                  <c:v>43704</c:v>
                </c:pt>
                <c:pt idx="233">
                  <c:v>43705</c:v>
                </c:pt>
                <c:pt idx="234">
                  <c:v>43706</c:v>
                </c:pt>
                <c:pt idx="235">
                  <c:v>43707</c:v>
                </c:pt>
                <c:pt idx="236">
                  <c:v>43710</c:v>
                </c:pt>
                <c:pt idx="237">
                  <c:v>43711</c:v>
                </c:pt>
                <c:pt idx="238">
                  <c:v>43712</c:v>
                </c:pt>
                <c:pt idx="239">
                  <c:v>43713</c:v>
                </c:pt>
                <c:pt idx="240">
                  <c:v>43714</c:v>
                </c:pt>
                <c:pt idx="241">
                  <c:v>43717</c:v>
                </c:pt>
                <c:pt idx="242">
                  <c:v>43718</c:v>
                </c:pt>
                <c:pt idx="243">
                  <c:v>43719</c:v>
                </c:pt>
                <c:pt idx="244">
                  <c:v>43720</c:v>
                </c:pt>
                <c:pt idx="245">
                  <c:v>43721</c:v>
                </c:pt>
                <c:pt idx="246">
                  <c:v>43724</c:v>
                </c:pt>
                <c:pt idx="247">
                  <c:v>43725</c:v>
                </c:pt>
                <c:pt idx="248">
                  <c:v>43726</c:v>
                </c:pt>
                <c:pt idx="249">
                  <c:v>43727</c:v>
                </c:pt>
                <c:pt idx="250">
                  <c:v>43728</c:v>
                </c:pt>
                <c:pt idx="251">
                  <c:v>43731</c:v>
                </c:pt>
                <c:pt idx="252">
                  <c:v>43732</c:v>
                </c:pt>
                <c:pt idx="253">
                  <c:v>43733</c:v>
                </c:pt>
                <c:pt idx="254">
                  <c:v>43734</c:v>
                </c:pt>
                <c:pt idx="255">
                  <c:v>43735</c:v>
                </c:pt>
                <c:pt idx="256">
                  <c:v>43738</c:v>
                </c:pt>
              </c:numCache>
            </c:numRef>
          </c:cat>
          <c:val>
            <c:numRef>
              <c:f>'Icomdex comp -MCX &amp;Nkrish index'!$C$89:$C$345</c:f>
              <c:numCache>
                <c:formatCode>0.00</c:formatCode>
                <c:ptCount val="257"/>
                <c:pt idx="0">
                  <c:v>3171.01</c:v>
                </c:pt>
                <c:pt idx="1">
                  <c:v>3199.2</c:v>
                </c:pt>
                <c:pt idx="2">
                  <c:v>3208.73</c:v>
                </c:pt>
                <c:pt idx="3">
                  <c:v>3205.9</c:v>
                </c:pt>
                <c:pt idx="4">
                  <c:v>3193.2</c:v>
                </c:pt>
                <c:pt idx="5">
                  <c:v>3189.13</c:v>
                </c:pt>
                <c:pt idx="6">
                  <c:v>3192.84</c:v>
                </c:pt>
                <c:pt idx="7">
                  <c:v>3205.38</c:v>
                </c:pt>
                <c:pt idx="8">
                  <c:v>3219.53</c:v>
                </c:pt>
                <c:pt idx="9">
                  <c:v>3258.72</c:v>
                </c:pt>
                <c:pt idx="10">
                  <c:v>3244.51</c:v>
                </c:pt>
                <c:pt idx="11">
                  <c:v>3299.24</c:v>
                </c:pt>
                <c:pt idx="12">
                  <c:v>3299.24</c:v>
                </c:pt>
                <c:pt idx="13">
                  <c:v>3289.22</c:v>
                </c:pt>
                <c:pt idx="14">
                  <c:v>3314.5</c:v>
                </c:pt>
                <c:pt idx="15">
                  <c:v>3325.87</c:v>
                </c:pt>
                <c:pt idx="16">
                  <c:v>3311.55</c:v>
                </c:pt>
                <c:pt idx="17">
                  <c:v>3342.74</c:v>
                </c:pt>
                <c:pt idx="18">
                  <c:v>3317.04</c:v>
                </c:pt>
                <c:pt idx="19">
                  <c:v>3345.67</c:v>
                </c:pt>
                <c:pt idx="20">
                  <c:v>3343.08</c:v>
                </c:pt>
                <c:pt idx="21">
                  <c:v>3349.02</c:v>
                </c:pt>
                <c:pt idx="22">
                  <c:v>3359.07</c:v>
                </c:pt>
                <c:pt idx="23">
                  <c:v>3394.69</c:v>
                </c:pt>
                <c:pt idx="24">
                  <c:v>3460.49</c:v>
                </c:pt>
                <c:pt idx="25">
                  <c:v>3489.22</c:v>
                </c:pt>
                <c:pt idx="26">
                  <c:v>3473.17</c:v>
                </c:pt>
                <c:pt idx="27">
                  <c:v>3473.17</c:v>
                </c:pt>
                <c:pt idx="28">
                  <c:v>3499.04</c:v>
                </c:pt>
                <c:pt idx="29">
                  <c:v>3544.06</c:v>
                </c:pt>
                <c:pt idx="30">
                  <c:v>3537.98</c:v>
                </c:pt>
                <c:pt idx="31">
                  <c:v>3521.54</c:v>
                </c:pt>
                <c:pt idx="32">
                  <c:v>3530.33</c:v>
                </c:pt>
                <c:pt idx="33">
                  <c:v>3478.75</c:v>
                </c:pt>
                <c:pt idx="34">
                  <c:v>3443.68</c:v>
                </c:pt>
                <c:pt idx="35">
                  <c:v>3450.42</c:v>
                </c:pt>
                <c:pt idx="36">
                  <c:v>3435.4</c:v>
                </c:pt>
                <c:pt idx="37">
                  <c:v>3433.4</c:v>
                </c:pt>
                <c:pt idx="38">
                  <c:v>3422.72</c:v>
                </c:pt>
                <c:pt idx="39">
                  <c:v>3377.09</c:v>
                </c:pt>
                <c:pt idx="40">
                  <c:v>3393.82</c:v>
                </c:pt>
                <c:pt idx="41">
                  <c:v>3400.83</c:v>
                </c:pt>
                <c:pt idx="42">
                  <c:v>3346.66</c:v>
                </c:pt>
                <c:pt idx="43">
                  <c:v>3384.58</c:v>
                </c:pt>
                <c:pt idx="44">
                  <c:v>3394.75</c:v>
                </c:pt>
                <c:pt idx="45">
                  <c:v>3403.55</c:v>
                </c:pt>
                <c:pt idx="46">
                  <c:v>3384.34</c:v>
                </c:pt>
                <c:pt idx="47">
                  <c:v>3375.81</c:v>
                </c:pt>
                <c:pt idx="48">
                  <c:v>3383.13</c:v>
                </c:pt>
                <c:pt idx="49">
                  <c:v>3402.59</c:v>
                </c:pt>
                <c:pt idx="50">
                  <c:v>3374.88</c:v>
                </c:pt>
                <c:pt idx="51">
                  <c:v>3403.12</c:v>
                </c:pt>
                <c:pt idx="52">
                  <c:v>3389.72</c:v>
                </c:pt>
                <c:pt idx="53">
                  <c:v>3397.63</c:v>
                </c:pt>
                <c:pt idx="54">
                  <c:v>3367.75</c:v>
                </c:pt>
                <c:pt idx="55">
                  <c:v>3317.21</c:v>
                </c:pt>
                <c:pt idx="56">
                  <c:v>3325.29</c:v>
                </c:pt>
                <c:pt idx="57">
                  <c:v>3331.31</c:v>
                </c:pt>
                <c:pt idx="58">
                  <c:v>3314.67</c:v>
                </c:pt>
                <c:pt idx="59">
                  <c:v>3231.51</c:v>
                </c:pt>
                <c:pt idx="60">
                  <c:v>3270.93</c:v>
                </c:pt>
                <c:pt idx="61">
                  <c:v>3256.25</c:v>
                </c:pt>
                <c:pt idx="62">
                  <c:v>3268.98</c:v>
                </c:pt>
                <c:pt idx="63">
                  <c:v>3321.74</c:v>
                </c:pt>
                <c:pt idx="64">
                  <c:v>3340.97</c:v>
                </c:pt>
                <c:pt idx="65">
                  <c:v>3333.48</c:v>
                </c:pt>
                <c:pt idx="66">
                  <c:v>3357.95</c:v>
                </c:pt>
                <c:pt idx="67">
                  <c:v>3368.84</c:v>
                </c:pt>
                <c:pt idx="68">
                  <c:v>3372.77</c:v>
                </c:pt>
                <c:pt idx="69">
                  <c:v>3340.86</c:v>
                </c:pt>
                <c:pt idx="70">
                  <c:v>3351.54</c:v>
                </c:pt>
                <c:pt idx="71">
                  <c:v>3329.76</c:v>
                </c:pt>
                <c:pt idx="72">
                  <c:v>3337.87</c:v>
                </c:pt>
                <c:pt idx="73">
                  <c:v>3374.98</c:v>
                </c:pt>
                <c:pt idx="74">
                  <c:v>3352.65</c:v>
                </c:pt>
                <c:pt idx="75">
                  <c:v>3344.55</c:v>
                </c:pt>
                <c:pt idx="76">
                  <c:v>3383.2</c:v>
                </c:pt>
                <c:pt idx="77">
                  <c:v>3390.92</c:v>
                </c:pt>
                <c:pt idx="78">
                  <c:v>3393.21</c:v>
                </c:pt>
                <c:pt idx="79">
                  <c:v>3416.91</c:v>
                </c:pt>
                <c:pt idx="80">
                  <c:v>3388.17</c:v>
                </c:pt>
                <c:pt idx="81">
                  <c:v>3369.22</c:v>
                </c:pt>
                <c:pt idx="82">
                  <c:v>3379.91</c:v>
                </c:pt>
                <c:pt idx="83">
                  <c:v>3387.44</c:v>
                </c:pt>
                <c:pt idx="84">
                  <c:v>3373.84</c:v>
                </c:pt>
                <c:pt idx="85">
                  <c:v>3390.54</c:v>
                </c:pt>
                <c:pt idx="86">
                  <c:v>3391.29</c:v>
                </c:pt>
                <c:pt idx="87">
                  <c:v>3376.14</c:v>
                </c:pt>
                <c:pt idx="88">
                  <c:v>3388.05</c:v>
                </c:pt>
                <c:pt idx="89">
                  <c:v>3377.48</c:v>
                </c:pt>
                <c:pt idx="90">
                  <c:v>3322.54</c:v>
                </c:pt>
                <c:pt idx="91">
                  <c:v>3345.42</c:v>
                </c:pt>
                <c:pt idx="92">
                  <c:v>3335.01</c:v>
                </c:pt>
                <c:pt idx="93">
                  <c:v>3327.77</c:v>
                </c:pt>
                <c:pt idx="94">
                  <c:v>3325.2</c:v>
                </c:pt>
                <c:pt idx="95">
                  <c:v>3337.04</c:v>
                </c:pt>
                <c:pt idx="96">
                  <c:v>3371.31</c:v>
                </c:pt>
                <c:pt idx="97">
                  <c:v>3341.09</c:v>
                </c:pt>
                <c:pt idx="98">
                  <c:v>3343.29</c:v>
                </c:pt>
                <c:pt idx="99">
                  <c:v>3343.57</c:v>
                </c:pt>
                <c:pt idx="100">
                  <c:v>3338.4</c:v>
                </c:pt>
                <c:pt idx="101">
                  <c:v>3328.02</c:v>
                </c:pt>
                <c:pt idx="102">
                  <c:v>3313.93</c:v>
                </c:pt>
                <c:pt idx="103">
                  <c:v>3293.6</c:v>
                </c:pt>
                <c:pt idx="104">
                  <c:v>3289.61</c:v>
                </c:pt>
                <c:pt idx="105">
                  <c:v>3274.68</c:v>
                </c:pt>
                <c:pt idx="106">
                  <c:v>3268.22</c:v>
                </c:pt>
                <c:pt idx="107">
                  <c:v>3298.23</c:v>
                </c:pt>
                <c:pt idx="108">
                  <c:v>3298.23</c:v>
                </c:pt>
                <c:pt idx="109">
                  <c:v>3304.08</c:v>
                </c:pt>
                <c:pt idx="110">
                  <c:v>3316.71</c:v>
                </c:pt>
                <c:pt idx="111">
                  <c:v>3306.83</c:v>
                </c:pt>
                <c:pt idx="112">
                  <c:v>3337.45</c:v>
                </c:pt>
                <c:pt idx="113">
                  <c:v>3353.84</c:v>
                </c:pt>
                <c:pt idx="114">
                  <c:v>3341.59</c:v>
                </c:pt>
                <c:pt idx="115">
                  <c:v>3361.67</c:v>
                </c:pt>
                <c:pt idx="116">
                  <c:v>3358.1</c:v>
                </c:pt>
                <c:pt idx="117">
                  <c:v>3336.98</c:v>
                </c:pt>
                <c:pt idx="118">
                  <c:v>3343.51</c:v>
                </c:pt>
                <c:pt idx="119">
                  <c:v>3352.52</c:v>
                </c:pt>
                <c:pt idx="120">
                  <c:v>3389.05</c:v>
                </c:pt>
                <c:pt idx="121">
                  <c:v>3389.05</c:v>
                </c:pt>
                <c:pt idx="122">
                  <c:v>3377.33</c:v>
                </c:pt>
                <c:pt idx="123">
                  <c:v>3365.79</c:v>
                </c:pt>
                <c:pt idx="124">
                  <c:v>3374.56</c:v>
                </c:pt>
                <c:pt idx="125">
                  <c:v>3389.84</c:v>
                </c:pt>
                <c:pt idx="126">
                  <c:v>3391.52</c:v>
                </c:pt>
                <c:pt idx="127">
                  <c:v>3414.28</c:v>
                </c:pt>
                <c:pt idx="128">
                  <c:v>3502.96</c:v>
                </c:pt>
                <c:pt idx="129">
                  <c:v>3542.26</c:v>
                </c:pt>
                <c:pt idx="130">
                  <c:v>3547.65</c:v>
                </c:pt>
                <c:pt idx="131">
                  <c:v>3553.63</c:v>
                </c:pt>
                <c:pt idx="132">
                  <c:v>3573.81</c:v>
                </c:pt>
                <c:pt idx="133">
                  <c:v>3561.92</c:v>
                </c:pt>
                <c:pt idx="134">
                  <c:v>3540.98</c:v>
                </c:pt>
                <c:pt idx="135">
                  <c:v>3569.93</c:v>
                </c:pt>
                <c:pt idx="136">
                  <c:v>3574.59</c:v>
                </c:pt>
                <c:pt idx="137">
                  <c:v>3592.82</c:v>
                </c:pt>
                <c:pt idx="138">
                  <c:v>3563.1</c:v>
                </c:pt>
                <c:pt idx="139">
                  <c:v>3534.98</c:v>
                </c:pt>
                <c:pt idx="140">
                  <c:v>3534.98</c:v>
                </c:pt>
                <c:pt idx="141">
                  <c:v>3495.31</c:v>
                </c:pt>
                <c:pt idx="142">
                  <c:v>3501.14</c:v>
                </c:pt>
                <c:pt idx="143">
                  <c:v>3513.6</c:v>
                </c:pt>
                <c:pt idx="144">
                  <c:v>3536.31</c:v>
                </c:pt>
                <c:pt idx="145">
                  <c:v>3526.54</c:v>
                </c:pt>
                <c:pt idx="146">
                  <c:v>3507.87</c:v>
                </c:pt>
                <c:pt idx="147">
                  <c:v>3500.82</c:v>
                </c:pt>
                <c:pt idx="148">
                  <c:v>3500.82</c:v>
                </c:pt>
                <c:pt idx="149">
                  <c:v>3513.6</c:v>
                </c:pt>
                <c:pt idx="150">
                  <c:v>3506.33</c:v>
                </c:pt>
                <c:pt idx="151">
                  <c:v>3546.89</c:v>
                </c:pt>
                <c:pt idx="152">
                  <c:v>3555.21</c:v>
                </c:pt>
                <c:pt idx="153">
                  <c:v>3563.8</c:v>
                </c:pt>
                <c:pt idx="154">
                  <c:v>3593.57</c:v>
                </c:pt>
                <c:pt idx="155">
                  <c:v>3602.4</c:v>
                </c:pt>
                <c:pt idx="156">
                  <c:v>3631.83</c:v>
                </c:pt>
                <c:pt idx="157">
                  <c:v>3626.44</c:v>
                </c:pt>
                <c:pt idx="158">
                  <c:v>3634.15</c:v>
                </c:pt>
                <c:pt idx="159">
                  <c:v>3653.25</c:v>
                </c:pt>
                <c:pt idx="160">
                  <c:v>3635.84</c:v>
                </c:pt>
                <c:pt idx="161">
                  <c:v>3623.99</c:v>
                </c:pt>
                <c:pt idx="162">
                  <c:v>3628.9</c:v>
                </c:pt>
                <c:pt idx="163">
                  <c:v>3619.79</c:v>
                </c:pt>
                <c:pt idx="164">
                  <c:v>3642.77</c:v>
                </c:pt>
                <c:pt idx="165">
                  <c:v>3646.75</c:v>
                </c:pt>
                <c:pt idx="166">
                  <c:v>3606.59</c:v>
                </c:pt>
                <c:pt idx="167">
                  <c:v>3575.1</c:v>
                </c:pt>
                <c:pt idx="168">
                  <c:v>3592.19</c:v>
                </c:pt>
                <c:pt idx="169">
                  <c:v>3624.3</c:v>
                </c:pt>
                <c:pt idx="170">
                  <c:v>3614.86</c:v>
                </c:pt>
                <c:pt idx="171">
                  <c:v>3579.77</c:v>
                </c:pt>
                <c:pt idx="172">
                  <c:v>3569.76</c:v>
                </c:pt>
                <c:pt idx="173">
                  <c:v>3569.76</c:v>
                </c:pt>
                <c:pt idx="174">
                  <c:v>3548.44</c:v>
                </c:pt>
                <c:pt idx="175">
                  <c:v>3544.05</c:v>
                </c:pt>
                <c:pt idx="176">
                  <c:v>3500.33</c:v>
                </c:pt>
                <c:pt idx="177">
                  <c:v>3517.76</c:v>
                </c:pt>
                <c:pt idx="178">
                  <c:v>3546.71</c:v>
                </c:pt>
                <c:pt idx="179">
                  <c:v>3561.88</c:v>
                </c:pt>
                <c:pt idx="180">
                  <c:v>3568.44</c:v>
                </c:pt>
                <c:pt idx="181">
                  <c:v>3513.89</c:v>
                </c:pt>
                <c:pt idx="182">
                  <c:v>3507.08</c:v>
                </c:pt>
                <c:pt idx="183">
                  <c:v>3486.46</c:v>
                </c:pt>
                <c:pt idx="184">
                  <c:v>3517.79</c:v>
                </c:pt>
                <c:pt idx="185">
                  <c:v>3496.85</c:v>
                </c:pt>
                <c:pt idx="186">
                  <c:v>3476.95</c:v>
                </c:pt>
                <c:pt idx="187">
                  <c:v>3507.41</c:v>
                </c:pt>
                <c:pt idx="188">
                  <c:v>3520.57</c:v>
                </c:pt>
                <c:pt idx="189">
                  <c:v>3504.07</c:v>
                </c:pt>
                <c:pt idx="190">
                  <c:v>3496.79</c:v>
                </c:pt>
                <c:pt idx="191">
                  <c:v>3542.61</c:v>
                </c:pt>
                <c:pt idx="192">
                  <c:v>3511.38</c:v>
                </c:pt>
                <c:pt idx="193">
                  <c:v>3523.85</c:v>
                </c:pt>
                <c:pt idx="194">
                  <c:v>3544.05</c:v>
                </c:pt>
                <c:pt idx="195">
                  <c:v>3558.9</c:v>
                </c:pt>
                <c:pt idx="196">
                  <c:v>3554.36</c:v>
                </c:pt>
                <c:pt idx="197">
                  <c:v>3552.98</c:v>
                </c:pt>
                <c:pt idx="198">
                  <c:v>3557.21</c:v>
                </c:pt>
                <c:pt idx="199">
                  <c:v>3554.25</c:v>
                </c:pt>
                <c:pt idx="200">
                  <c:v>3579.31</c:v>
                </c:pt>
                <c:pt idx="201">
                  <c:v>3587.36</c:v>
                </c:pt>
                <c:pt idx="202">
                  <c:v>3604.41</c:v>
                </c:pt>
                <c:pt idx="203">
                  <c:v>3625.07</c:v>
                </c:pt>
                <c:pt idx="204">
                  <c:v>3623.22</c:v>
                </c:pt>
                <c:pt idx="205">
                  <c:v>3600.22</c:v>
                </c:pt>
                <c:pt idx="206">
                  <c:v>3576.17</c:v>
                </c:pt>
                <c:pt idx="207">
                  <c:v>3572.94</c:v>
                </c:pt>
                <c:pt idx="208">
                  <c:v>3574</c:v>
                </c:pt>
                <c:pt idx="209">
                  <c:v>3589.83</c:v>
                </c:pt>
                <c:pt idx="210">
                  <c:v>3594.51</c:v>
                </c:pt>
                <c:pt idx="211">
                  <c:v>3591.15</c:v>
                </c:pt>
                <c:pt idx="212">
                  <c:v>3609.61</c:v>
                </c:pt>
                <c:pt idx="213">
                  <c:v>3636.84</c:v>
                </c:pt>
                <c:pt idx="214">
                  <c:v>3618.64</c:v>
                </c:pt>
                <c:pt idx="215">
                  <c:v>3612.11</c:v>
                </c:pt>
                <c:pt idx="216">
                  <c:v>3592.33</c:v>
                </c:pt>
                <c:pt idx="217">
                  <c:v>3579.15</c:v>
                </c:pt>
                <c:pt idx="218">
                  <c:v>3581.38</c:v>
                </c:pt>
                <c:pt idx="219">
                  <c:v>3582.95</c:v>
                </c:pt>
                <c:pt idx="220">
                  <c:v>3612.05</c:v>
                </c:pt>
                <c:pt idx="221">
                  <c:v>3612.05</c:v>
                </c:pt>
                <c:pt idx="222">
                  <c:v>3604.48</c:v>
                </c:pt>
                <c:pt idx="223">
                  <c:v>3613.1</c:v>
                </c:pt>
                <c:pt idx="224">
                  <c:v>3613.1</c:v>
                </c:pt>
                <c:pt idx="225">
                  <c:v>3624.34</c:v>
                </c:pt>
                <c:pt idx="226" formatCode="General">
                  <c:v>3611.39</c:v>
                </c:pt>
                <c:pt idx="227">
                  <c:v>3612.96</c:v>
                </c:pt>
                <c:pt idx="228">
                  <c:v>3600.62</c:v>
                </c:pt>
                <c:pt idx="229">
                  <c:v>3593.1</c:v>
                </c:pt>
                <c:pt idx="230">
                  <c:v>3586.72</c:v>
                </c:pt>
                <c:pt idx="231">
                  <c:v>3588.76</c:v>
                </c:pt>
                <c:pt idx="232">
                  <c:v>3602.16</c:v>
                </c:pt>
                <c:pt idx="233">
                  <c:v>3591.5</c:v>
                </c:pt>
                <c:pt idx="234">
                  <c:v>3559.13</c:v>
                </c:pt>
                <c:pt idx="235" formatCode="General">
                  <c:v>3559.27</c:v>
                </c:pt>
                <c:pt idx="236">
                  <c:v>3516.91</c:v>
                </c:pt>
                <c:pt idx="237">
                  <c:v>3516.91</c:v>
                </c:pt>
                <c:pt idx="238">
                  <c:v>3479.38</c:v>
                </c:pt>
                <c:pt idx="239">
                  <c:v>3468.34</c:v>
                </c:pt>
                <c:pt idx="240">
                  <c:v>3458.35</c:v>
                </c:pt>
                <c:pt idx="241">
                  <c:v>3454.93</c:v>
                </c:pt>
                <c:pt idx="242">
                  <c:v>3454.93</c:v>
                </c:pt>
                <c:pt idx="243">
                  <c:v>3488.03</c:v>
                </c:pt>
                <c:pt idx="244">
                  <c:v>3479.67</c:v>
                </c:pt>
                <c:pt idx="245">
                  <c:v>3465.81</c:v>
                </c:pt>
                <c:pt idx="246">
                  <c:v>3462.7</c:v>
                </c:pt>
                <c:pt idx="247">
                  <c:v>3464.5</c:v>
                </c:pt>
                <c:pt idx="248">
                  <c:v>3453.93</c:v>
                </c:pt>
                <c:pt idx="249" formatCode="General">
                  <c:v>3486.65</c:v>
                </c:pt>
                <c:pt idx="250" formatCode="General">
                  <c:v>3484.01</c:v>
                </c:pt>
                <c:pt idx="251" formatCode="General">
                  <c:v>3476.33</c:v>
                </c:pt>
                <c:pt idx="252" formatCode="General">
                  <c:v>3485.87</c:v>
                </c:pt>
                <c:pt idx="253" formatCode="General">
                  <c:v>3501.68</c:v>
                </c:pt>
                <c:pt idx="254" formatCode="General">
                  <c:v>3477.37</c:v>
                </c:pt>
                <c:pt idx="255" formatCode="General">
                  <c:v>3448.93</c:v>
                </c:pt>
                <c:pt idx="256" formatCode="General">
                  <c:v>3428.56</c:v>
                </c:pt>
              </c:numCache>
            </c:numRef>
          </c:val>
          <c:smooth val="0"/>
          <c:extLst xmlns:c16r2="http://schemas.microsoft.com/office/drawing/2015/06/chart">
            <c:ext xmlns:c16="http://schemas.microsoft.com/office/drawing/2014/chart" uri="{C3380CC4-5D6E-409C-BE32-E72D297353CC}">
              <c16:uniqueId val="{00000000-78A5-4204-B27C-66B226D28A2D}"/>
            </c:ext>
          </c:extLst>
        </c:ser>
        <c:dLbls>
          <c:showLegendKey val="0"/>
          <c:showVal val="0"/>
          <c:showCatName val="0"/>
          <c:showSerName val="0"/>
          <c:showPercent val="0"/>
          <c:showBubbleSize val="0"/>
        </c:dLbls>
        <c:marker val="1"/>
        <c:smooth val="0"/>
        <c:axId val="472605016"/>
        <c:axId val="472605408"/>
      </c:lineChart>
      <c:lineChart>
        <c:grouping val="standard"/>
        <c:varyColors val="0"/>
        <c:ser>
          <c:idx val="0"/>
          <c:order val="0"/>
          <c:tx>
            <c:v>MCX Icomdex composite index (RHS)</c:v>
          </c:tx>
          <c:spPr>
            <a:ln w="31750" cap="rnd">
              <a:solidFill>
                <a:schemeClr val="accent1"/>
              </a:solidFill>
              <a:round/>
            </a:ln>
            <a:effectLst>
              <a:outerShdw blurRad="40000" dist="23000" dir="5400000" rotWithShape="0">
                <a:srgbClr val="000000">
                  <a:alpha val="35000"/>
                </a:srgbClr>
              </a:outerShdw>
            </a:effectLst>
          </c:spPr>
          <c:marker>
            <c:symbol val="none"/>
          </c:marker>
          <c:cat>
            <c:numRef>
              <c:f>'Icomdex comp -MCX &amp;Nkrish index'!$A$89:$A$345</c:f>
              <c:numCache>
                <c:formatCode>d\-mmm\-yy</c:formatCode>
                <c:ptCount val="257"/>
                <c:pt idx="0">
                  <c:v>43374</c:v>
                </c:pt>
                <c:pt idx="1">
                  <c:v>43376</c:v>
                </c:pt>
                <c:pt idx="2">
                  <c:v>43377</c:v>
                </c:pt>
                <c:pt idx="3">
                  <c:v>43378</c:v>
                </c:pt>
                <c:pt idx="4">
                  <c:v>43381</c:v>
                </c:pt>
                <c:pt idx="5">
                  <c:v>43382</c:v>
                </c:pt>
                <c:pt idx="6">
                  <c:v>43383</c:v>
                </c:pt>
                <c:pt idx="7">
                  <c:v>43384</c:v>
                </c:pt>
                <c:pt idx="8">
                  <c:v>43385</c:v>
                </c:pt>
                <c:pt idx="9">
                  <c:v>43388</c:v>
                </c:pt>
                <c:pt idx="10">
                  <c:v>43389</c:v>
                </c:pt>
                <c:pt idx="11">
                  <c:v>43390</c:v>
                </c:pt>
                <c:pt idx="12">
                  <c:v>43391</c:v>
                </c:pt>
                <c:pt idx="13">
                  <c:v>43392</c:v>
                </c:pt>
                <c:pt idx="14">
                  <c:v>43395</c:v>
                </c:pt>
                <c:pt idx="15">
                  <c:v>43396</c:v>
                </c:pt>
                <c:pt idx="16">
                  <c:v>43397</c:v>
                </c:pt>
                <c:pt idx="17">
                  <c:v>43398</c:v>
                </c:pt>
                <c:pt idx="18">
                  <c:v>43399</c:v>
                </c:pt>
                <c:pt idx="19">
                  <c:v>43402</c:v>
                </c:pt>
                <c:pt idx="20">
                  <c:v>43403</c:v>
                </c:pt>
                <c:pt idx="21">
                  <c:v>43404</c:v>
                </c:pt>
                <c:pt idx="22">
                  <c:v>43405</c:v>
                </c:pt>
                <c:pt idx="23">
                  <c:v>43406</c:v>
                </c:pt>
                <c:pt idx="24">
                  <c:v>43409</c:v>
                </c:pt>
                <c:pt idx="25">
                  <c:v>43410</c:v>
                </c:pt>
                <c:pt idx="26">
                  <c:v>43411</c:v>
                </c:pt>
                <c:pt idx="27">
                  <c:v>43412</c:v>
                </c:pt>
                <c:pt idx="28">
                  <c:v>43413</c:v>
                </c:pt>
                <c:pt idx="29">
                  <c:v>43416</c:v>
                </c:pt>
                <c:pt idx="30">
                  <c:v>43417</c:v>
                </c:pt>
                <c:pt idx="31">
                  <c:v>43418</c:v>
                </c:pt>
                <c:pt idx="32">
                  <c:v>43419</c:v>
                </c:pt>
                <c:pt idx="33">
                  <c:v>43420</c:v>
                </c:pt>
                <c:pt idx="34">
                  <c:v>43423</c:v>
                </c:pt>
                <c:pt idx="35">
                  <c:v>43424</c:v>
                </c:pt>
                <c:pt idx="36">
                  <c:v>43425</c:v>
                </c:pt>
                <c:pt idx="37">
                  <c:v>43426</c:v>
                </c:pt>
                <c:pt idx="38">
                  <c:v>43427</c:v>
                </c:pt>
                <c:pt idx="39">
                  <c:v>43430</c:v>
                </c:pt>
                <c:pt idx="40">
                  <c:v>43431</c:v>
                </c:pt>
                <c:pt idx="41">
                  <c:v>43432</c:v>
                </c:pt>
                <c:pt idx="42">
                  <c:v>43433</c:v>
                </c:pt>
                <c:pt idx="43">
                  <c:v>43434</c:v>
                </c:pt>
                <c:pt idx="44">
                  <c:v>43437</c:v>
                </c:pt>
                <c:pt idx="45">
                  <c:v>43438</c:v>
                </c:pt>
                <c:pt idx="46">
                  <c:v>43439</c:v>
                </c:pt>
                <c:pt idx="47">
                  <c:v>43440</c:v>
                </c:pt>
                <c:pt idx="48">
                  <c:v>43441</c:v>
                </c:pt>
                <c:pt idx="49">
                  <c:v>43444</c:v>
                </c:pt>
                <c:pt idx="50">
                  <c:v>43445</c:v>
                </c:pt>
                <c:pt idx="51">
                  <c:v>43446</c:v>
                </c:pt>
                <c:pt idx="52">
                  <c:v>43447</c:v>
                </c:pt>
                <c:pt idx="53">
                  <c:v>43448</c:v>
                </c:pt>
                <c:pt idx="54">
                  <c:v>43451</c:v>
                </c:pt>
                <c:pt idx="55">
                  <c:v>43452</c:v>
                </c:pt>
                <c:pt idx="56">
                  <c:v>43453</c:v>
                </c:pt>
                <c:pt idx="57">
                  <c:v>43454</c:v>
                </c:pt>
                <c:pt idx="58">
                  <c:v>43455</c:v>
                </c:pt>
                <c:pt idx="59">
                  <c:v>43458</c:v>
                </c:pt>
                <c:pt idx="60">
                  <c:v>43460</c:v>
                </c:pt>
                <c:pt idx="61">
                  <c:v>43461</c:v>
                </c:pt>
                <c:pt idx="62">
                  <c:v>43462</c:v>
                </c:pt>
                <c:pt idx="63">
                  <c:v>43465</c:v>
                </c:pt>
                <c:pt idx="64">
                  <c:v>43466</c:v>
                </c:pt>
                <c:pt idx="65">
                  <c:v>43467</c:v>
                </c:pt>
                <c:pt idx="66">
                  <c:v>43468</c:v>
                </c:pt>
                <c:pt idx="67">
                  <c:v>43469</c:v>
                </c:pt>
                <c:pt idx="68">
                  <c:v>43472</c:v>
                </c:pt>
                <c:pt idx="69">
                  <c:v>43473</c:v>
                </c:pt>
                <c:pt idx="70">
                  <c:v>43474</c:v>
                </c:pt>
                <c:pt idx="71">
                  <c:v>43475</c:v>
                </c:pt>
                <c:pt idx="72">
                  <c:v>43476</c:v>
                </c:pt>
                <c:pt idx="73">
                  <c:v>43479</c:v>
                </c:pt>
                <c:pt idx="74">
                  <c:v>43480</c:v>
                </c:pt>
                <c:pt idx="75">
                  <c:v>43481</c:v>
                </c:pt>
                <c:pt idx="76">
                  <c:v>43482</c:v>
                </c:pt>
                <c:pt idx="77">
                  <c:v>43483</c:v>
                </c:pt>
                <c:pt idx="78">
                  <c:v>43486</c:v>
                </c:pt>
                <c:pt idx="79">
                  <c:v>43487</c:v>
                </c:pt>
                <c:pt idx="80">
                  <c:v>43488</c:v>
                </c:pt>
                <c:pt idx="81">
                  <c:v>43489</c:v>
                </c:pt>
                <c:pt idx="82">
                  <c:v>43490</c:v>
                </c:pt>
                <c:pt idx="83">
                  <c:v>43493</c:v>
                </c:pt>
                <c:pt idx="84">
                  <c:v>43494</c:v>
                </c:pt>
                <c:pt idx="85">
                  <c:v>43495</c:v>
                </c:pt>
                <c:pt idx="86">
                  <c:v>43496</c:v>
                </c:pt>
                <c:pt idx="87">
                  <c:v>43497</c:v>
                </c:pt>
                <c:pt idx="88">
                  <c:v>43500</c:v>
                </c:pt>
                <c:pt idx="89">
                  <c:v>43501</c:v>
                </c:pt>
                <c:pt idx="90">
                  <c:v>43502</c:v>
                </c:pt>
                <c:pt idx="91">
                  <c:v>43503</c:v>
                </c:pt>
                <c:pt idx="92">
                  <c:v>43504</c:v>
                </c:pt>
                <c:pt idx="93">
                  <c:v>43507</c:v>
                </c:pt>
                <c:pt idx="94">
                  <c:v>43508</c:v>
                </c:pt>
                <c:pt idx="95">
                  <c:v>43509</c:v>
                </c:pt>
                <c:pt idx="96">
                  <c:v>43510</c:v>
                </c:pt>
                <c:pt idx="97">
                  <c:v>43511</c:v>
                </c:pt>
                <c:pt idx="98">
                  <c:v>43514</c:v>
                </c:pt>
                <c:pt idx="99">
                  <c:v>43515</c:v>
                </c:pt>
                <c:pt idx="100">
                  <c:v>43516</c:v>
                </c:pt>
                <c:pt idx="101">
                  <c:v>43517</c:v>
                </c:pt>
                <c:pt idx="102">
                  <c:v>43518</c:v>
                </c:pt>
                <c:pt idx="103">
                  <c:v>43521</c:v>
                </c:pt>
                <c:pt idx="104">
                  <c:v>43522</c:v>
                </c:pt>
                <c:pt idx="105">
                  <c:v>43523</c:v>
                </c:pt>
                <c:pt idx="106">
                  <c:v>43524</c:v>
                </c:pt>
                <c:pt idx="107">
                  <c:v>43525</c:v>
                </c:pt>
                <c:pt idx="108">
                  <c:v>43528</c:v>
                </c:pt>
                <c:pt idx="109">
                  <c:v>43529</c:v>
                </c:pt>
                <c:pt idx="110">
                  <c:v>43530</c:v>
                </c:pt>
                <c:pt idx="111">
                  <c:v>43531</c:v>
                </c:pt>
                <c:pt idx="112">
                  <c:v>43532</c:v>
                </c:pt>
                <c:pt idx="113">
                  <c:v>43535</c:v>
                </c:pt>
                <c:pt idx="114">
                  <c:v>43536</c:v>
                </c:pt>
                <c:pt idx="115">
                  <c:v>43537</c:v>
                </c:pt>
                <c:pt idx="116">
                  <c:v>43538</c:v>
                </c:pt>
                <c:pt idx="117">
                  <c:v>43539</c:v>
                </c:pt>
                <c:pt idx="118">
                  <c:v>43542</c:v>
                </c:pt>
                <c:pt idx="119">
                  <c:v>43543</c:v>
                </c:pt>
                <c:pt idx="120">
                  <c:v>43544</c:v>
                </c:pt>
                <c:pt idx="121">
                  <c:v>43545</c:v>
                </c:pt>
                <c:pt idx="122">
                  <c:v>43546</c:v>
                </c:pt>
                <c:pt idx="123">
                  <c:v>43549</c:v>
                </c:pt>
                <c:pt idx="124">
                  <c:v>43550</c:v>
                </c:pt>
                <c:pt idx="125">
                  <c:v>43551</c:v>
                </c:pt>
                <c:pt idx="126">
                  <c:v>43552</c:v>
                </c:pt>
                <c:pt idx="127">
                  <c:v>43553</c:v>
                </c:pt>
                <c:pt idx="128">
                  <c:v>43556</c:v>
                </c:pt>
                <c:pt idx="129">
                  <c:v>43557</c:v>
                </c:pt>
                <c:pt idx="130">
                  <c:v>43558</c:v>
                </c:pt>
                <c:pt idx="131">
                  <c:v>43559</c:v>
                </c:pt>
                <c:pt idx="132">
                  <c:v>43560</c:v>
                </c:pt>
                <c:pt idx="133">
                  <c:v>43563</c:v>
                </c:pt>
                <c:pt idx="134">
                  <c:v>43564</c:v>
                </c:pt>
                <c:pt idx="135">
                  <c:v>43565</c:v>
                </c:pt>
                <c:pt idx="136">
                  <c:v>43566</c:v>
                </c:pt>
                <c:pt idx="137">
                  <c:v>43567</c:v>
                </c:pt>
                <c:pt idx="138">
                  <c:v>43570</c:v>
                </c:pt>
                <c:pt idx="139">
                  <c:v>43571</c:v>
                </c:pt>
                <c:pt idx="140">
                  <c:v>43572</c:v>
                </c:pt>
                <c:pt idx="141">
                  <c:v>43573</c:v>
                </c:pt>
                <c:pt idx="142">
                  <c:v>43577</c:v>
                </c:pt>
                <c:pt idx="143">
                  <c:v>43578</c:v>
                </c:pt>
                <c:pt idx="144">
                  <c:v>43579</c:v>
                </c:pt>
                <c:pt idx="145">
                  <c:v>43580</c:v>
                </c:pt>
                <c:pt idx="146">
                  <c:v>43581</c:v>
                </c:pt>
                <c:pt idx="147">
                  <c:v>43585</c:v>
                </c:pt>
                <c:pt idx="148">
                  <c:v>43586</c:v>
                </c:pt>
                <c:pt idx="149">
                  <c:v>43587</c:v>
                </c:pt>
                <c:pt idx="150">
                  <c:v>43588</c:v>
                </c:pt>
                <c:pt idx="151">
                  <c:v>43591</c:v>
                </c:pt>
                <c:pt idx="152">
                  <c:v>43592</c:v>
                </c:pt>
                <c:pt idx="153">
                  <c:v>43593</c:v>
                </c:pt>
                <c:pt idx="154">
                  <c:v>43594</c:v>
                </c:pt>
                <c:pt idx="155">
                  <c:v>43595</c:v>
                </c:pt>
                <c:pt idx="156">
                  <c:v>43598</c:v>
                </c:pt>
                <c:pt idx="157">
                  <c:v>43599</c:v>
                </c:pt>
                <c:pt idx="158">
                  <c:v>43600</c:v>
                </c:pt>
                <c:pt idx="159">
                  <c:v>43601</c:v>
                </c:pt>
                <c:pt idx="160">
                  <c:v>43602</c:v>
                </c:pt>
                <c:pt idx="161">
                  <c:v>43605</c:v>
                </c:pt>
                <c:pt idx="162">
                  <c:v>43606</c:v>
                </c:pt>
                <c:pt idx="163">
                  <c:v>43607</c:v>
                </c:pt>
                <c:pt idx="164">
                  <c:v>43608</c:v>
                </c:pt>
                <c:pt idx="165">
                  <c:v>43609</c:v>
                </c:pt>
                <c:pt idx="166">
                  <c:v>43612</c:v>
                </c:pt>
                <c:pt idx="167">
                  <c:v>43613</c:v>
                </c:pt>
                <c:pt idx="168">
                  <c:v>43614</c:v>
                </c:pt>
                <c:pt idx="169">
                  <c:v>43615</c:v>
                </c:pt>
                <c:pt idx="170">
                  <c:v>43616</c:v>
                </c:pt>
                <c:pt idx="171">
                  <c:v>43619</c:v>
                </c:pt>
                <c:pt idx="172">
                  <c:v>43620</c:v>
                </c:pt>
                <c:pt idx="173">
                  <c:v>43621</c:v>
                </c:pt>
                <c:pt idx="174">
                  <c:v>43622</c:v>
                </c:pt>
                <c:pt idx="175">
                  <c:v>43623</c:v>
                </c:pt>
                <c:pt idx="176">
                  <c:v>43626</c:v>
                </c:pt>
                <c:pt idx="177">
                  <c:v>43627</c:v>
                </c:pt>
                <c:pt idx="178">
                  <c:v>43628</c:v>
                </c:pt>
                <c:pt idx="179">
                  <c:v>43629</c:v>
                </c:pt>
                <c:pt idx="180">
                  <c:v>43630</c:v>
                </c:pt>
                <c:pt idx="181">
                  <c:v>43633</c:v>
                </c:pt>
                <c:pt idx="182">
                  <c:v>43634</c:v>
                </c:pt>
                <c:pt idx="183">
                  <c:v>43635</c:v>
                </c:pt>
                <c:pt idx="184">
                  <c:v>43636</c:v>
                </c:pt>
                <c:pt idx="185">
                  <c:v>43637</c:v>
                </c:pt>
                <c:pt idx="186">
                  <c:v>43640</c:v>
                </c:pt>
                <c:pt idx="187">
                  <c:v>43641</c:v>
                </c:pt>
                <c:pt idx="188">
                  <c:v>43642</c:v>
                </c:pt>
                <c:pt idx="189">
                  <c:v>43643</c:v>
                </c:pt>
                <c:pt idx="190">
                  <c:v>43644</c:v>
                </c:pt>
                <c:pt idx="191">
                  <c:v>43647</c:v>
                </c:pt>
                <c:pt idx="192">
                  <c:v>43648</c:v>
                </c:pt>
                <c:pt idx="193">
                  <c:v>43649</c:v>
                </c:pt>
                <c:pt idx="194">
                  <c:v>43650</c:v>
                </c:pt>
                <c:pt idx="195">
                  <c:v>43651</c:v>
                </c:pt>
                <c:pt idx="196">
                  <c:v>43654</c:v>
                </c:pt>
                <c:pt idx="197">
                  <c:v>43655</c:v>
                </c:pt>
                <c:pt idx="198">
                  <c:v>43656</c:v>
                </c:pt>
                <c:pt idx="199">
                  <c:v>43657</c:v>
                </c:pt>
                <c:pt idx="200">
                  <c:v>43658</c:v>
                </c:pt>
                <c:pt idx="201">
                  <c:v>43661</c:v>
                </c:pt>
                <c:pt idx="202">
                  <c:v>43662</c:v>
                </c:pt>
                <c:pt idx="203">
                  <c:v>43663</c:v>
                </c:pt>
                <c:pt idx="204">
                  <c:v>43664</c:v>
                </c:pt>
                <c:pt idx="205">
                  <c:v>43665</c:v>
                </c:pt>
                <c:pt idx="206">
                  <c:v>43668</c:v>
                </c:pt>
                <c:pt idx="207">
                  <c:v>43669</c:v>
                </c:pt>
                <c:pt idx="208">
                  <c:v>43670</c:v>
                </c:pt>
                <c:pt idx="209">
                  <c:v>43671</c:v>
                </c:pt>
                <c:pt idx="210">
                  <c:v>43672</c:v>
                </c:pt>
                <c:pt idx="211">
                  <c:v>43675</c:v>
                </c:pt>
                <c:pt idx="212">
                  <c:v>43676</c:v>
                </c:pt>
                <c:pt idx="213">
                  <c:v>43677</c:v>
                </c:pt>
                <c:pt idx="214">
                  <c:v>43678</c:v>
                </c:pt>
                <c:pt idx="215">
                  <c:v>43679</c:v>
                </c:pt>
                <c:pt idx="216">
                  <c:v>43682</c:v>
                </c:pt>
                <c:pt idx="217">
                  <c:v>43683</c:v>
                </c:pt>
                <c:pt idx="218">
                  <c:v>43684</c:v>
                </c:pt>
                <c:pt idx="219">
                  <c:v>43685</c:v>
                </c:pt>
                <c:pt idx="220">
                  <c:v>43686</c:v>
                </c:pt>
                <c:pt idx="221">
                  <c:v>43689</c:v>
                </c:pt>
                <c:pt idx="222">
                  <c:v>43690</c:v>
                </c:pt>
                <c:pt idx="223">
                  <c:v>43691</c:v>
                </c:pt>
                <c:pt idx="224">
                  <c:v>43692</c:v>
                </c:pt>
                <c:pt idx="225">
                  <c:v>43693</c:v>
                </c:pt>
                <c:pt idx="226">
                  <c:v>43696</c:v>
                </c:pt>
                <c:pt idx="227">
                  <c:v>43697</c:v>
                </c:pt>
                <c:pt idx="228">
                  <c:v>43698</c:v>
                </c:pt>
                <c:pt idx="229">
                  <c:v>43699</c:v>
                </c:pt>
                <c:pt idx="230">
                  <c:v>43700</c:v>
                </c:pt>
                <c:pt idx="231">
                  <c:v>43703</c:v>
                </c:pt>
                <c:pt idx="232">
                  <c:v>43704</c:v>
                </c:pt>
                <c:pt idx="233">
                  <c:v>43705</c:v>
                </c:pt>
                <c:pt idx="234">
                  <c:v>43706</c:v>
                </c:pt>
                <c:pt idx="235">
                  <c:v>43707</c:v>
                </c:pt>
                <c:pt idx="236">
                  <c:v>43710</c:v>
                </c:pt>
                <c:pt idx="237">
                  <c:v>43711</c:v>
                </c:pt>
                <c:pt idx="238">
                  <c:v>43712</c:v>
                </c:pt>
                <c:pt idx="239">
                  <c:v>43713</c:v>
                </c:pt>
                <c:pt idx="240">
                  <c:v>43714</c:v>
                </c:pt>
                <c:pt idx="241">
                  <c:v>43717</c:v>
                </c:pt>
                <c:pt idx="242">
                  <c:v>43718</c:v>
                </c:pt>
                <c:pt idx="243">
                  <c:v>43719</c:v>
                </c:pt>
                <c:pt idx="244">
                  <c:v>43720</c:v>
                </c:pt>
                <c:pt idx="245">
                  <c:v>43721</c:v>
                </c:pt>
                <c:pt idx="246">
                  <c:v>43724</c:v>
                </c:pt>
                <c:pt idx="247">
                  <c:v>43725</c:v>
                </c:pt>
                <c:pt idx="248">
                  <c:v>43726</c:v>
                </c:pt>
                <c:pt idx="249">
                  <c:v>43727</c:v>
                </c:pt>
                <c:pt idx="250">
                  <c:v>43728</c:v>
                </c:pt>
                <c:pt idx="251">
                  <c:v>43731</c:v>
                </c:pt>
                <c:pt idx="252">
                  <c:v>43732</c:v>
                </c:pt>
                <c:pt idx="253">
                  <c:v>43733</c:v>
                </c:pt>
                <c:pt idx="254">
                  <c:v>43734</c:v>
                </c:pt>
                <c:pt idx="255">
                  <c:v>43735</c:v>
                </c:pt>
                <c:pt idx="256">
                  <c:v>43738</c:v>
                </c:pt>
              </c:numCache>
            </c:numRef>
          </c:cat>
          <c:val>
            <c:numRef>
              <c:f>'Icomdex comp -MCX &amp;Nkrish index'!$B$89:$B$344</c:f>
              <c:numCache>
                <c:formatCode>0.00</c:formatCode>
                <c:ptCount val="256"/>
                <c:pt idx="0">
                  <c:v>648.07000000000005</c:v>
                </c:pt>
                <c:pt idx="1">
                  <c:v>660.88</c:v>
                </c:pt>
                <c:pt idx="2">
                  <c:v>652.75</c:v>
                </c:pt>
                <c:pt idx="3">
                  <c:v>657.13</c:v>
                </c:pt>
                <c:pt idx="4">
                  <c:v>651.5</c:v>
                </c:pt>
                <c:pt idx="5">
                  <c:v>656.56</c:v>
                </c:pt>
                <c:pt idx="6">
                  <c:v>649.97</c:v>
                </c:pt>
                <c:pt idx="7">
                  <c:v>649.6</c:v>
                </c:pt>
                <c:pt idx="8">
                  <c:v>649.82000000000005</c:v>
                </c:pt>
                <c:pt idx="9">
                  <c:v>651.49</c:v>
                </c:pt>
                <c:pt idx="10">
                  <c:v>648.29</c:v>
                </c:pt>
                <c:pt idx="11">
                  <c:v>646.08000000000004</c:v>
                </c:pt>
                <c:pt idx="12">
                  <c:v>645.16999999999996</c:v>
                </c:pt>
                <c:pt idx="13">
                  <c:v>643.41</c:v>
                </c:pt>
                <c:pt idx="14">
                  <c:v>644.92999999999995</c:v>
                </c:pt>
                <c:pt idx="15">
                  <c:v>639.12</c:v>
                </c:pt>
                <c:pt idx="16">
                  <c:v>638.29999999999995</c:v>
                </c:pt>
                <c:pt idx="17">
                  <c:v>636.78</c:v>
                </c:pt>
                <c:pt idx="18">
                  <c:v>636.35</c:v>
                </c:pt>
                <c:pt idx="19">
                  <c:v>633.88</c:v>
                </c:pt>
                <c:pt idx="20">
                  <c:v>628.36</c:v>
                </c:pt>
                <c:pt idx="21">
                  <c:v>626.04</c:v>
                </c:pt>
                <c:pt idx="22">
                  <c:v>623.20000000000005</c:v>
                </c:pt>
                <c:pt idx="23">
                  <c:v>622.02</c:v>
                </c:pt>
                <c:pt idx="24">
                  <c:v>619.96</c:v>
                </c:pt>
                <c:pt idx="25">
                  <c:v>613.77</c:v>
                </c:pt>
                <c:pt idx="26">
                  <c:v>614.24</c:v>
                </c:pt>
                <c:pt idx="27">
                  <c:v>611.13</c:v>
                </c:pt>
                <c:pt idx="28">
                  <c:v>604.22</c:v>
                </c:pt>
                <c:pt idx="29">
                  <c:v>604.46</c:v>
                </c:pt>
                <c:pt idx="30">
                  <c:v>593.76</c:v>
                </c:pt>
                <c:pt idx="31">
                  <c:v>596.99</c:v>
                </c:pt>
                <c:pt idx="32">
                  <c:v>595.25</c:v>
                </c:pt>
                <c:pt idx="33">
                  <c:v>599.66999999999996</c:v>
                </c:pt>
                <c:pt idx="34">
                  <c:v>597.27</c:v>
                </c:pt>
                <c:pt idx="35">
                  <c:v>586.03</c:v>
                </c:pt>
                <c:pt idx="36">
                  <c:v>591.62</c:v>
                </c:pt>
                <c:pt idx="37">
                  <c:v>584.47</c:v>
                </c:pt>
                <c:pt idx="38">
                  <c:v>574.20000000000005</c:v>
                </c:pt>
                <c:pt idx="39">
                  <c:v>574.11</c:v>
                </c:pt>
                <c:pt idx="40">
                  <c:v>568.96</c:v>
                </c:pt>
                <c:pt idx="41">
                  <c:v>572.63</c:v>
                </c:pt>
                <c:pt idx="42">
                  <c:v>568.04</c:v>
                </c:pt>
                <c:pt idx="43">
                  <c:v>566.99</c:v>
                </c:pt>
                <c:pt idx="44">
                  <c:v>580.32000000000005</c:v>
                </c:pt>
                <c:pt idx="45">
                  <c:v>583.99</c:v>
                </c:pt>
                <c:pt idx="46">
                  <c:v>586.07000000000005</c:v>
                </c:pt>
                <c:pt idx="47">
                  <c:v>578.66999999999996</c:v>
                </c:pt>
                <c:pt idx="48">
                  <c:v>591.75</c:v>
                </c:pt>
                <c:pt idx="49">
                  <c:v>594.70000000000005</c:v>
                </c:pt>
                <c:pt idx="50">
                  <c:v>594.03</c:v>
                </c:pt>
                <c:pt idx="51">
                  <c:v>589.46</c:v>
                </c:pt>
                <c:pt idx="52">
                  <c:v>586.14</c:v>
                </c:pt>
                <c:pt idx="53">
                  <c:v>583.70000000000005</c:v>
                </c:pt>
                <c:pt idx="54">
                  <c:v>580.49</c:v>
                </c:pt>
                <c:pt idx="55">
                  <c:v>564.91</c:v>
                </c:pt>
                <c:pt idx="56">
                  <c:v>567.16999999999996</c:v>
                </c:pt>
                <c:pt idx="57">
                  <c:v>562.32000000000005</c:v>
                </c:pt>
                <c:pt idx="58">
                  <c:v>559.24</c:v>
                </c:pt>
                <c:pt idx="59">
                  <c:v>555.49</c:v>
                </c:pt>
                <c:pt idx="60">
                  <c:v>561.47</c:v>
                </c:pt>
                <c:pt idx="61">
                  <c:v>562.24</c:v>
                </c:pt>
                <c:pt idx="62">
                  <c:v>558.79999999999995</c:v>
                </c:pt>
                <c:pt idx="63">
                  <c:v>554.62</c:v>
                </c:pt>
                <c:pt idx="64">
                  <c:v>554.94000000000005</c:v>
                </c:pt>
                <c:pt idx="65">
                  <c:v>559.28</c:v>
                </c:pt>
                <c:pt idx="66">
                  <c:v>559.52</c:v>
                </c:pt>
                <c:pt idx="67">
                  <c:v>561</c:v>
                </c:pt>
                <c:pt idx="68">
                  <c:v>566.54999999999995</c:v>
                </c:pt>
                <c:pt idx="69">
                  <c:v>568.83000000000004</c:v>
                </c:pt>
                <c:pt idx="70">
                  <c:v>577.69000000000005</c:v>
                </c:pt>
                <c:pt idx="71">
                  <c:v>574.79999999999995</c:v>
                </c:pt>
                <c:pt idx="72">
                  <c:v>575.67999999999995</c:v>
                </c:pt>
                <c:pt idx="73">
                  <c:v>578.37</c:v>
                </c:pt>
                <c:pt idx="74">
                  <c:v>581.03</c:v>
                </c:pt>
                <c:pt idx="75">
                  <c:v>583.26</c:v>
                </c:pt>
                <c:pt idx="76">
                  <c:v>584.52</c:v>
                </c:pt>
                <c:pt idx="77">
                  <c:v>589.63</c:v>
                </c:pt>
                <c:pt idx="78">
                  <c:v>588.47</c:v>
                </c:pt>
                <c:pt idx="79">
                  <c:v>586.33000000000004</c:v>
                </c:pt>
                <c:pt idx="80">
                  <c:v>586.97</c:v>
                </c:pt>
                <c:pt idx="81">
                  <c:v>587.74</c:v>
                </c:pt>
                <c:pt idx="82">
                  <c:v>595.05999999999995</c:v>
                </c:pt>
                <c:pt idx="83">
                  <c:v>591.07000000000005</c:v>
                </c:pt>
                <c:pt idx="84">
                  <c:v>598.61</c:v>
                </c:pt>
                <c:pt idx="85">
                  <c:v>602.69000000000005</c:v>
                </c:pt>
                <c:pt idx="86">
                  <c:v>603.91</c:v>
                </c:pt>
                <c:pt idx="87">
                  <c:v>611</c:v>
                </c:pt>
                <c:pt idx="88">
                  <c:v>613.07000000000005</c:v>
                </c:pt>
                <c:pt idx="89">
                  <c:v>606.9</c:v>
                </c:pt>
                <c:pt idx="90">
                  <c:v>606.03</c:v>
                </c:pt>
                <c:pt idx="91">
                  <c:v>599.79999999999995</c:v>
                </c:pt>
                <c:pt idx="92">
                  <c:v>599.61</c:v>
                </c:pt>
                <c:pt idx="93">
                  <c:v>593.66</c:v>
                </c:pt>
                <c:pt idx="94">
                  <c:v>589.42999999999995</c:v>
                </c:pt>
                <c:pt idx="95">
                  <c:v>592.30999999999995</c:v>
                </c:pt>
                <c:pt idx="96">
                  <c:v>592.63</c:v>
                </c:pt>
                <c:pt idx="97">
                  <c:v>602.26</c:v>
                </c:pt>
                <c:pt idx="98">
                  <c:v>605.29999999999995</c:v>
                </c:pt>
                <c:pt idx="99">
                  <c:v>608.30999999999995</c:v>
                </c:pt>
                <c:pt idx="100">
                  <c:v>612.42999999999995</c:v>
                </c:pt>
                <c:pt idx="101">
                  <c:v>608.32000000000005</c:v>
                </c:pt>
                <c:pt idx="102">
                  <c:v>611.20000000000005</c:v>
                </c:pt>
                <c:pt idx="103">
                  <c:v>605.23</c:v>
                </c:pt>
                <c:pt idx="104">
                  <c:v>607.86</c:v>
                </c:pt>
                <c:pt idx="105">
                  <c:v>612.36</c:v>
                </c:pt>
                <c:pt idx="106">
                  <c:v>608.39</c:v>
                </c:pt>
                <c:pt idx="107">
                  <c:v>605.01</c:v>
                </c:pt>
                <c:pt idx="108">
                  <c:v>600.46</c:v>
                </c:pt>
                <c:pt idx="109">
                  <c:v>600.20000000000005</c:v>
                </c:pt>
                <c:pt idx="110">
                  <c:v>595.54</c:v>
                </c:pt>
                <c:pt idx="111">
                  <c:v>593.29999999999995</c:v>
                </c:pt>
                <c:pt idx="112">
                  <c:v>591.01</c:v>
                </c:pt>
                <c:pt idx="113">
                  <c:v>591.23</c:v>
                </c:pt>
                <c:pt idx="114">
                  <c:v>596.16</c:v>
                </c:pt>
                <c:pt idx="115">
                  <c:v>600.25</c:v>
                </c:pt>
                <c:pt idx="116">
                  <c:v>595.29999999999995</c:v>
                </c:pt>
                <c:pt idx="117">
                  <c:v>591.72</c:v>
                </c:pt>
                <c:pt idx="118">
                  <c:v>589.53</c:v>
                </c:pt>
                <c:pt idx="119">
                  <c:v>595.41999999999996</c:v>
                </c:pt>
                <c:pt idx="120">
                  <c:v>594.76</c:v>
                </c:pt>
                <c:pt idx="121">
                  <c:v>594.73</c:v>
                </c:pt>
                <c:pt idx="122">
                  <c:v>594.04999999999995</c:v>
                </c:pt>
                <c:pt idx="123">
                  <c:v>595.5</c:v>
                </c:pt>
                <c:pt idx="124">
                  <c:v>597.96</c:v>
                </c:pt>
                <c:pt idx="125">
                  <c:v>596.87</c:v>
                </c:pt>
                <c:pt idx="126">
                  <c:v>592.78</c:v>
                </c:pt>
                <c:pt idx="127">
                  <c:v>599.91999999999996</c:v>
                </c:pt>
                <c:pt idx="128">
                  <c:v>602.4</c:v>
                </c:pt>
                <c:pt idx="129">
                  <c:v>600.38</c:v>
                </c:pt>
                <c:pt idx="130">
                  <c:v>601.1</c:v>
                </c:pt>
                <c:pt idx="131">
                  <c:v>604.29</c:v>
                </c:pt>
                <c:pt idx="132">
                  <c:v>606.32000000000005</c:v>
                </c:pt>
                <c:pt idx="133">
                  <c:v>612.9</c:v>
                </c:pt>
                <c:pt idx="134">
                  <c:v>609.37</c:v>
                </c:pt>
                <c:pt idx="135">
                  <c:v>609.55999999999995</c:v>
                </c:pt>
                <c:pt idx="136">
                  <c:v>601.91999999999996</c:v>
                </c:pt>
                <c:pt idx="137">
                  <c:v>608.49</c:v>
                </c:pt>
                <c:pt idx="138">
                  <c:v>607.29</c:v>
                </c:pt>
                <c:pt idx="139">
                  <c:v>603.29999999999995</c:v>
                </c:pt>
                <c:pt idx="140">
                  <c:v>604.78</c:v>
                </c:pt>
                <c:pt idx="141">
                  <c:v>602.94000000000005</c:v>
                </c:pt>
                <c:pt idx="142">
                  <c:v>607.74</c:v>
                </c:pt>
                <c:pt idx="143">
                  <c:v>606.54999999999995</c:v>
                </c:pt>
                <c:pt idx="144">
                  <c:v>610.04</c:v>
                </c:pt>
                <c:pt idx="145">
                  <c:v>611.88</c:v>
                </c:pt>
                <c:pt idx="146">
                  <c:v>605.29999999999995</c:v>
                </c:pt>
                <c:pt idx="147">
                  <c:v>603.16</c:v>
                </c:pt>
                <c:pt idx="148">
                  <c:v>596.88</c:v>
                </c:pt>
                <c:pt idx="149">
                  <c:v>588.89</c:v>
                </c:pt>
                <c:pt idx="150">
                  <c:v>592</c:v>
                </c:pt>
                <c:pt idx="151">
                  <c:v>592.83000000000004</c:v>
                </c:pt>
                <c:pt idx="152">
                  <c:v>589.80999999999995</c:v>
                </c:pt>
                <c:pt idx="153">
                  <c:v>590.45000000000005</c:v>
                </c:pt>
                <c:pt idx="154">
                  <c:v>591.66999999999996</c:v>
                </c:pt>
                <c:pt idx="155">
                  <c:v>591.45000000000005</c:v>
                </c:pt>
                <c:pt idx="156">
                  <c:v>592.1</c:v>
                </c:pt>
                <c:pt idx="157">
                  <c:v>593.08000000000004</c:v>
                </c:pt>
                <c:pt idx="158">
                  <c:v>595.61</c:v>
                </c:pt>
                <c:pt idx="159">
                  <c:v>595.29999999999995</c:v>
                </c:pt>
                <c:pt idx="160">
                  <c:v>592.91</c:v>
                </c:pt>
                <c:pt idx="161">
                  <c:v>586.77</c:v>
                </c:pt>
                <c:pt idx="162">
                  <c:v>586.19000000000005</c:v>
                </c:pt>
                <c:pt idx="163">
                  <c:v>580.25</c:v>
                </c:pt>
                <c:pt idx="164">
                  <c:v>575.91</c:v>
                </c:pt>
                <c:pt idx="165">
                  <c:v>577.95000000000005</c:v>
                </c:pt>
                <c:pt idx="166">
                  <c:v>582.23</c:v>
                </c:pt>
                <c:pt idx="167">
                  <c:v>579.58000000000004</c:v>
                </c:pt>
                <c:pt idx="168">
                  <c:v>580.4</c:v>
                </c:pt>
                <c:pt idx="169">
                  <c:v>577.45000000000005</c:v>
                </c:pt>
                <c:pt idx="170">
                  <c:v>570.79</c:v>
                </c:pt>
                <c:pt idx="171">
                  <c:v>566.91999999999996</c:v>
                </c:pt>
                <c:pt idx="172">
                  <c:v>569.38</c:v>
                </c:pt>
                <c:pt idx="173">
                  <c:v>565.53</c:v>
                </c:pt>
                <c:pt idx="174">
                  <c:v>567.04</c:v>
                </c:pt>
                <c:pt idx="175">
                  <c:v>569.71</c:v>
                </c:pt>
                <c:pt idx="176">
                  <c:v>570.15</c:v>
                </c:pt>
                <c:pt idx="177">
                  <c:v>571.41</c:v>
                </c:pt>
                <c:pt idx="178">
                  <c:v>568.27</c:v>
                </c:pt>
                <c:pt idx="179">
                  <c:v>569.87</c:v>
                </c:pt>
                <c:pt idx="180">
                  <c:v>571.30999999999995</c:v>
                </c:pt>
                <c:pt idx="181">
                  <c:v>571.91</c:v>
                </c:pt>
                <c:pt idx="182">
                  <c:v>579.32000000000005</c:v>
                </c:pt>
                <c:pt idx="183">
                  <c:v>578.04</c:v>
                </c:pt>
                <c:pt idx="184">
                  <c:v>588.86</c:v>
                </c:pt>
                <c:pt idx="185">
                  <c:v>588.05999999999995</c:v>
                </c:pt>
                <c:pt idx="186">
                  <c:v>590.89</c:v>
                </c:pt>
                <c:pt idx="187">
                  <c:v>594.44000000000005</c:v>
                </c:pt>
                <c:pt idx="188">
                  <c:v>595.16</c:v>
                </c:pt>
                <c:pt idx="189">
                  <c:v>592.17999999999995</c:v>
                </c:pt>
                <c:pt idx="190">
                  <c:v>592.30999999999995</c:v>
                </c:pt>
                <c:pt idx="191">
                  <c:v>585.04999999999995</c:v>
                </c:pt>
                <c:pt idx="192">
                  <c:v>583.88</c:v>
                </c:pt>
                <c:pt idx="193">
                  <c:v>584.79</c:v>
                </c:pt>
                <c:pt idx="194">
                  <c:v>581.79999999999995</c:v>
                </c:pt>
                <c:pt idx="195">
                  <c:v>584.29</c:v>
                </c:pt>
                <c:pt idx="196">
                  <c:v>584.48</c:v>
                </c:pt>
                <c:pt idx="197">
                  <c:v>583.53</c:v>
                </c:pt>
                <c:pt idx="198">
                  <c:v>591.91999999999996</c:v>
                </c:pt>
                <c:pt idx="199">
                  <c:v>590.52</c:v>
                </c:pt>
                <c:pt idx="200">
                  <c:v>593.76</c:v>
                </c:pt>
                <c:pt idx="201">
                  <c:v>592.85</c:v>
                </c:pt>
                <c:pt idx="202">
                  <c:v>590</c:v>
                </c:pt>
                <c:pt idx="203">
                  <c:v>592.53</c:v>
                </c:pt>
                <c:pt idx="204">
                  <c:v>591.02</c:v>
                </c:pt>
                <c:pt idx="205">
                  <c:v>588.92999999999995</c:v>
                </c:pt>
                <c:pt idx="206">
                  <c:v>591.08000000000004</c:v>
                </c:pt>
                <c:pt idx="207">
                  <c:v>591.75</c:v>
                </c:pt>
                <c:pt idx="208">
                  <c:v>593.33000000000004</c:v>
                </c:pt>
                <c:pt idx="209">
                  <c:v>591.08000000000004</c:v>
                </c:pt>
                <c:pt idx="210">
                  <c:v>588.20000000000005</c:v>
                </c:pt>
                <c:pt idx="211">
                  <c:v>590.41</c:v>
                </c:pt>
                <c:pt idx="212">
                  <c:v>590.70000000000005</c:v>
                </c:pt>
                <c:pt idx="213">
                  <c:v>592.01</c:v>
                </c:pt>
                <c:pt idx="214">
                  <c:v>584.58000000000004</c:v>
                </c:pt>
                <c:pt idx="215">
                  <c:v>589.12</c:v>
                </c:pt>
                <c:pt idx="216">
                  <c:v>597.97</c:v>
                </c:pt>
                <c:pt idx="217">
                  <c:v>598.14</c:v>
                </c:pt>
                <c:pt idx="218">
                  <c:v>596.94000000000005</c:v>
                </c:pt>
                <c:pt idx="219">
                  <c:v>596.5</c:v>
                </c:pt>
                <c:pt idx="220">
                  <c:v>601.55999999999995</c:v>
                </c:pt>
                <c:pt idx="221">
                  <c:v>605.57000000000005</c:v>
                </c:pt>
                <c:pt idx="222">
                  <c:v>607.91999999999996</c:v>
                </c:pt>
                <c:pt idx="223">
                  <c:v>606.46</c:v>
                </c:pt>
                <c:pt idx="224">
                  <c:v>606.46</c:v>
                </c:pt>
                <c:pt idx="225">
                  <c:v>604.01</c:v>
                </c:pt>
                <c:pt idx="226">
                  <c:v>605.6</c:v>
                </c:pt>
                <c:pt idx="227">
                  <c:v>606.09</c:v>
                </c:pt>
                <c:pt idx="228">
                  <c:v>607.78</c:v>
                </c:pt>
                <c:pt idx="229">
                  <c:v>608.29</c:v>
                </c:pt>
                <c:pt idx="230">
                  <c:v>606.86</c:v>
                </c:pt>
                <c:pt idx="231">
                  <c:v>608.1</c:v>
                </c:pt>
                <c:pt idx="232">
                  <c:v>611.44000000000005</c:v>
                </c:pt>
                <c:pt idx="233">
                  <c:v>615.5</c:v>
                </c:pt>
                <c:pt idx="234">
                  <c:v>612.96</c:v>
                </c:pt>
                <c:pt idx="235" formatCode="General">
                  <c:v>610.11</c:v>
                </c:pt>
                <c:pt idx="236">
                  <c:v>614.74</c:v>
                </c:pt>
                <c:pt idx="237">
                  <c:v>617.03</c:v>
                </c:pt>
                <c:pt idx="238">
                  <c:v>627.91</c:v>
                </c:pt>
                <c:pt idx="239">
                  <c:v>621.42999999999995</c:v>
                </c:pt>
                <c:pt idx="240">
                  <c:v>616.07000000000005</c:v>
                </c:pt>
                <c:pt idx="241">
                  <c:v>618.30999999999995</c:v>
                </c:pt>
                <c:pt idx="242">
                  <c:v>618.73</c:v>
                </c:pt>
                <c:pt idx="243">
                  <c:v>612.30999999999995</c:v>
                </c:pt>
                <c:pt idx="244">
                  <c:v>608.04999999999995</c:v>
                </c:pt>
                <c:pt idx="245">
                  <c:v>608.58000000000004</c:v>
                </c:pt>
                <c:pt idx="246">
                  <c:v>624.70000000000005</c:v>
                </c:pt>
                <c:pt idx="247">
                  <c:v>616.51</c:v>
                </c:pt>
                <c:pt idx="248">
                  <c:v>612.22</c:v>
                </c:pt>
                <c:pt idx="249" formatCode="General">
                  <c:v>612.58000000000004</c:v>
                </c:pt>
                <c:pt idx="250" formatCode="General">
                  <c:v>611.04999999999995</c:v>
                </c:pt>
                <c:pt idx="251" formatCode="General">
                  <c:v>612.07000000000005</c:v>
                </c:pt>
                <c:pt idx="252" formatCode="General">
                  <c:v>609.29</c:v>
                </c:pt>
                <c:pt idx="253" formatCode="General">
                  <c:v>604.33000000000004</c:v>
                </c:pt>
                <c:pt idx="254" formatCode="General">
                  <c:v>602.37</c:v>
                </c:pt>
                <c:pt idx="255" formatCode="General">
                  <c:v>599.25</c:v>
                </c:pt>
              </c:numCache>
            </c:numRef>
          </c:val>
          <c:smooth val="0"/>
          <c:extLst xmlns:c16r2="http://schemas.microsoft.com/office/drawing/2015/06/chart">
            <c:ext xmlns:c16="http://schemas.microsoft.com/office/drawing/2014/chart" uri="{C3380CC4-5D6E-409C-BE32-E72D297353CC}">
              <c16:uniqueId val="{00000001-78A5-4204-B27C-66B226D28A2D}"/>
            </c:ext>
          </c:extLst>
        </c:ser>
        <c:dLbls>
          <c:showLegendKey val="0"/>
          <c:showVal val="0"/>
          <c:showCatName val="0"/>
          <c:showSerName val="0"/>
          <c:showPercent val="0"/>
          <c:showBubbleSize val="0"/>
        </c:dLbls>
        <c:marker val="1"/>
        <c:smooth val="0"/>
        <c:axId val="472607760"/>
        <c:axId val="472605800"/>
      </c:lineChart>
      <c:dateAx>
        <c:axId val="472605016"/>
        <c:scaling>
          <c:orientation val="minMax"/>
          <c:max val="43738"/>
          <c:min val="43404"/>
        </c:scaling>
        <c:delete val="0"/>
        <c:axPos val="b"/>
        <c:minorGridlines>
          <c:spPr>
            <a:ln>
              <a:solidFill>
                <a:schemeClr val="tx2">
                  <a:lumMod val="5000"/>
                  <a:lumOff val="95000"/>
                </a:schemeClr>
              </a:solidFill>
            </a:ln>
            <a:effectLst/>
          </c:spPr>
        </c:minorGridlines>
        <c:numFmt formatCode="[$-409]mmm\-yy;@" sourceLinked="0"/>
        <c:majorTickMark val="cross"/>
        <c:minorTickMark val="cross"/>
        <c:tickLblPos val="nextTo"/>
        <c:spPr>
          <a:noFill/>
          <a:ln w="9525" cap="flat" cmpd="sng" algn="ctr">
            <a:solidFill>
              <a:schemeClr val="tx2">
                <a:lumMod val="15000"/>
                <a:lumOff val="85000"/>
              </a:schemeClr>
            </a:solidFill>
            <a:round/>
          </a:ln>
          <a:effectLst/>
        </c:spPr>
        <c:txPr>
          <a:bodyPr rot="-1380000" spcFirstLastPara="1" vertOverflow="ellipsis" wrap="square" anchor="ctr" anchorCtr="1"/>
          <a:lstStyle/>
          <a:p>
            <a:pPr>
              <a:defRPr sz="1050" b="0" i="0" u="none" strike="noStrike" kern="1200" baseline="0">
                <a:solidFill>
                  <a:schemeClr val="dk1"/>
                </a:solidFill>
                <a:latin typeface="Garamond" panose="02020404030301010803" pitchFamily="18" charset="0"/>
                <a:ea typeface="+mn-ea"/>
                <a:cs typeface="+mn-cs"/>
              </a:defRPr>
            </a:pPr>
            <a:endParaRPr lang="en-US"/>
          </a:p>
        </c:txPr>
        <c:crossAx val="472605408"/>
        <c:crosses val="autoZero"/>
        <c:auto val="0"/>
        <c:lblOffset val="100"/>
        <c:baseTimeUnit val="days"/>
        <c:majorUnit val="1"/>
        <c:majorTimeUnit val="months"/>
        <c:minorUnit val="1"/>
        <c:minorTimeUnit val="months"/>
      </c:dateAx>
      <c:valAx>
        <c:axId val="472605408"/>
        <c:scaling>
          <c:orientation val="minMax"/>
          <c:max val="4500"/>
          <c:min val="295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dk1"/>
                    </a:solidFill>
                    <a:latin typeface="Garamond" panose="02020404030301010803" pitchFamily="18" charset="0"/>
                    <a:ea typeface="+mn-ea"/>
                    <a:cs typeface="+mn-cs"/>
                  </a:defRPr>
                </a:pPr>
                <a:r>
                  <a:rPr lang="en-IN" sz="1000">
                    <a:latin typeface="Garamond" panose="02020404030301010803" pitchFamily="18" charset="0"/>
                  </a:rPr>
                  <a:t>NKrishi </a:t>
                </a:r>
                <a:r>
                  <a:rPr lang="en-IN" sz="1000" baseline="0">
                    <a:latin typeface="Garamond" panose="02020404030301010803" pitchFamily="18" charset="0"/>
                  </a:rPr>
                  <a:t> Index NCDEX</a:t>
                </a:r>
                <a:endParaRPr lang="en-IN" sz="1000">
                  <a:latin typeface="Garamond" panose="02020404030301010803" pitchFamily="18" charset="0"/>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dk1"/>
                  </a:solidFill>
                  <a:latin typeface="Garamond" panose="02020404030301010803"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dk1"/>
                </a:solidFill>
                <a:latin typeface="Garamond" panose="02020404030301010803" pitchFamily="18" charset="0"/>
                <a:ea typeface="+mn-ea"/>
                <a:cs typeface="+mn-cs"/>
              </a:defRPr>
            </a:pPr>
            <a:endParaRPr lang="en-US"/>
          </a:p>
        </c:txPr>
        <c:crossAx val="472605016"/>
        <c:crossesAt val="42978"/>
        <c:crossBetween val="midCat"/>
      </c:valAx>
      <c:valAx>
        <c:axId val="472605800"/>
        <c:scaling>
          <c:orientation val="minMax"/>
        </c:scaling>
        <c:delete val="0"/>
        <c:axPos val="r"/>
        <c:title>
          <c:tx>
            <c:rich>
              <a:bodyPr rot="-5400000" spcFirstLastPara="1" vertOverflow="ellipsis" vert="horz" wrap="square" anchor="ctr" anchorCtr="1"/>
              <a:lstStyle/>
              <a:p>
                <a:pPr>
                  <a:defRPr sz="1000" b="1" i="0" u="none" strike="noStrike" kern="1200" baseline="0">
                    <a:solidFill>
                      <a:schemeClr val="dk1"/>
                    </a:solidFill>
                    <a:latin typeface="Garamond" panose="02020404030301010803" pitchFamily="18" charset="0"/>
                    <a:ea typeface="+mn-ea"/>
                    <a:cs typeface="+mn-cs"/>
                  </a:defRPr>
                </a:pPr>
                <a:r>
                  <a:rPr lang="en-IN" sz="1000">
                    <a:latin typeface="Garamond" panose="02020404030301010803" pitchFamily="18" charset="0"/>
                  </a:rPr>
                  <a:t>MCX</a:t>
                </a:r>
                <a:r>
                  <a:rPr lang="en-IN" sz="1000" baseline="0">
                    <a:latin typeface="Garamond" panose="02020404030301010803" pitchFamily="18" charset="0"/>
                  </a:rPr>
                  <a:t>  icomdex composite index</a:t>
                </a:r>
                <a:endParaRPr lang="en-IN" sz="1000">
                  <a:latin typeface="Garamond" panose="02020404030301010803" pitchFamily="18" charset="0"/>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dk1"/>
                  </a:solidFill>
                  <a:latin typeface="Garamond" panose="02020404030301010803" pitchFamily="18" charset="0"/>
                  <a:ea typeface="+mn-ea"/>
                  <a:cs typeface="+mn-cs"/>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solidFill>
                <a:latin typeface="Garamond" panose="02020404030301010803" pitchFamily="18" charset="0"/>
                <a:ea typeface="+mn-ea"/>
                <a:cs typeface="+mn-cs"/>
              </a:defRPr>
            </a:pPr>
            <a:endParaRPr lang="en-US"/>
          </a:p>
        </c:txPr>
        <c:crossAx val="472607760"/>
        <c:crosses val="max"/>
        <c:crossBetween val="between"/>
      </c:valAx>
      <c:dateAx>
        <c:axId val="472607760"/>
        <c:scaling>
          <c:orientation val="minMax"/>
        </c:scaling>
        <c:delete val="1"/>
        <c:axPos val="b"/>
        <c:numFmt formatCode="d\-mmm\-yy" sourceLinked="1"/>
        <c:majorTickMark val="out"/>
        <c:minorTickMark val="none"/>
        <c:tickLblPos val="nextTo"/>
        <c:crossAx val="472605800"/>
        <c:crosses val="autoZero"/>
        <c:auto val="0"/>
        <c:lblOffset val="100"/>
        <c:baseTimeUnit val="day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solidFill>
              <a:latin typeface="Garamond" panose="02020404030301010803" pitchFamily="18" charset="0"/>
              <a:ea typeface="+mn-ea"/>
              <a:cs typeface="+mn-cs"/>
            </a:defRPr>
          </a:pPr>
          <a:endParaRPr lang="en-US"/>
        </a:p>
      </c:txPr>
    </c:legend>
    <c:plotVisOnly val="1"/>
    <c:dispBlanksAs val="gap"/>
    <c:showDLblsOverMax val="0"/>
  </c:chart>
  <c:spPr>
    <a:solidFill>
      <a:schemeClr val="lt1"/>
    </a:solidFill>
    <a:ln w="25400" cap="flat" cmpd="sng" algn="ctr">
      <a:solidFill>
        <a:schemeClr val="tx2">
          <a:lumMod val="60000"/>
          <a:lumOff val="40000"/>
        </a:schemeClr>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085739282589675E-2"/>
          <c:y val="0.12917833187518227"/>
          <c:w val="0.87834872879696013"/>
          <c:h val="0.70096562671934048"/>
        </c:manualLayout>
      </c:layout>
      <c:barChart>
        <c:barDir val="col"/>
        <c:grouping val="clustered"/>
        <c:varyColors val="0"/>
        <c:ser>
          <c:idx val="0"/>
          <c:order val="0"/>
          <c:tx>
            <c:strRef>
              <c:f>'Volatility chart'!$C$4</c:f>
              <c:strCache>
                <c:ptCount val="1"/>
                <c:pt idx="0">
                  <c:v>%Variation</c:v>
                </c:pt>
              </c:strCache>
            </c:strRef>
          </c:tx>
          <c:invertIfNegative val="0"/>
          <c:dLbls>
            <c:dLbl>
              <c:idx val="0"/>
              <c:layout>
                <c:manualLayout>
                  <c:x val="-5.9701492537313433E-3"/>
                  <c:y val="1.298735385349558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CF8-495F-B8BE-A1CC945DF288}"/>
                </c:ext>
                <c:ext xmlns:c15="http://schemas.microsoft.com/office/drawing/2012/chart" uri="{CE6537A1-D6FC-4f65-9D91-7224C49458BB}"/>
              </c:extLst>
            </c:dLbl>
            <c:dLbl>
              <c:idx val="1"/>
              <c:layout>
                <c:manualLayout>
                  <c:x val="3.9800995024875619E-3"/>
                  <c:y val="1.4582158711642677E-2"/>
                </c:manualLayout>
              </c:layout>
              <c:spPr>
                <a:solidFill>
                  <a:schemeClr val="bg1">
                    <a:alpha val="89000"/>
                  </a:schemeClr>
                </a:solidFill>
              </c:spPr>
              <c:txPr>
                <a:bodyPr rot="0" vert="horz" anchor="b" anchorCtr="1"/>
                <a:lstStyle/>
                <a:p>
                  <a:pPr>
                    <a:defRPr b="1">
                      <a:latin typeface="Garamond" panose="02020404030301010803" pitchFamily="18" charset="0"/>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CF8-495F-B8BE-A1CC945DF288}"/>
                </c:ext>
                <c:ext xmlns:c15="http://schemas.microsoft.com/office/drawing/2012/chart" uri="{CE6537A1-D6FC-4f65-9D91-7224C49458BB}"/>
              </c:extLst>
            </c:dLbl>
            <c:dLbl>
              <c:idx val="2"/>
              <c:layout>
                <c:manualLayout>
                  <c:x val="-7.2967647950442939E-17"/>
                  <c:y val="-1.112497825379896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CF8-495F-B8BE-A1CC945DF288}"/>
                </c:ext>
                <c:ext xmlns:c15="http://schemas.microsoft.com/office/drawing/2012/chart" uri="{CE6537A1-D6FC-4f65-9D91-7224C49458BB}"/>
              </c:extLst>
            </c:dLbl>
            <c:dLbl>
              <c:idx val="3"/>
              <c:layout>
                <c:manualLayout>
                  <c:x val="0"/>
                  <c:y val="1.526489744337513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CF8-495F-B8BE-A1CC945DF288}"/>
                </c:ext>
                <c:ext xmlns:c15="http://schemas.microsoft.com/office/drawing/2012/chart" uri="{CE6537A1-D6FC-4f65-9D91-7224C49458BB}"/>
              </c:extLst>
            </c:dLbl>
            <c:dLbl>
              <c:idx val="4"/>
              <c:layout>
                <c:manualLayout>
                  <c:x val="0"/>
                  <c:y val="-3.0452674897119341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CF8-495F-B8BE-A1CC945DF288}"/>
                </c:ext>
                <c:ext xmlns:c15="http://schemas.microsoft.com/office/drawing/2012/chart" uri="{CE6537A1-D6FC-4f65-9D91-7224C49458BB}"/>
              </c:extLst>
            </c:dLbl>
            <c:spPr>
              <a:noFill/>
              <a:ln>
                <a:noFill/>
              </a:ln>
              <a:effectLst/>
            </c:spPr>
            <c:txPr>
              <a:bodyPr rot="0" vert="horz" anchor="b" anchorCtr="1"/>
              <a:lstStyle/>
              <a:p>
                <a:pPr>
                  <a:defRPr b="1">
                    <a:latin typeface="Garamond" panose="02020404030301010803"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'Volatility chart'!$B$5:$B$9</c:f>
              <c:strCache>
                <c:ptCount val="5"/>
                <c:pt idx="0">
                  <c:v>MCX icomdex composite index</c:v>
                </c:pt>
                <c:pt idx="1">
                  <c:v>NKrishi index</c:v>
                </c:pt>
                <c:pt idx="2">
                  <c:v>MCX icomdex base metal</c:v>
                </c:pt>
                <c:pt idx="3">
                  <c:v>MCX icomdex crude oil </c:v>
                </c:pt>
                <c:pt idx="4">
                  <c:v>MCX icomdex bullion</c:v>
                </c:pt>
              </c:strCache>
            </c:strRef>
          </c:cat>
          <c:val>
            <c:numRef>
              <c:f>'Volatility chart'!$C$5:$C$9</c:f>
              <c:numCache>
                <c:formatCode>0.0</c:formatCode>
                <c:ptCount val="5"/>
                <c:pt idx="0">
                  <c:v>-1.7800068840045262</c:v>
                </c:pt>
                <c:pt idx="1">
                  <c:v>-3.6723822581596801</c:v>
                </c:pt>
                <c:pt idx="2">
                  <c:v>-1.032454175019325</c:v>
                </c:pt>
                <c:pt idx="3">
                  <c:v>-0.10049554700766554</c:v>
                </c:pt>
                <c:pt idx="4">
                  <c:v>-3.2692632884279358</c:v>
                </c:pt>
              </c:numCache>
            </c:numRef>
          </c:val>
          <c:extLst xmlns:c16r2="http://schemas.microsoft.com/office/drawing/2015/06/chart">
            <c:ext xmlns:c16="http://schemas.microsoft.com/office/drawing/2014/chart" uri="{C3380CC4-5D6E-409C-BE32-E72D297353CC}">
              <c16:uniqueId val="{00000005-ACF8-495F-B8BE-A1CC945DF288}"/>
            </c:ext>
          </c:extLst>
        </c:ser>
        <c:ser>
          <c:idx val="1"/>
          <c:order val="1"/>
          <c:tx>
            <c:strRef>
              <c:f>'Volatility chart'!$D$4</c:f>
              <c:strCache>
                <c:ptCount val="1"/>
                <c:pt idx="0">
                  <c:v>%Volatility</c:v>
                </c:pt>
              </c:strCache>
            </c:strRef>
          </c:tx>
          <c:invertIfNegative val="0"/>
          <c:dLbls>
            <c:spPr>
              <a:noFill/>
              <a:ln>
                <a:noFill/>
              </a:ln>
              <a:effectLst/>
            </c:spPr>
            <c:txPr>
              <a:bodyPr rot="0" vert="horz" anchor="ctr" anchorCtr="1"/>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'Volatility chart'!$B$5:$B$9</c:f>
              <c:strCache>
                <c:ptCount val="5"/>
                <c:pt idx="0">
                  <c:v>MCX icomdex composite index</c:v>
                </c:pt>
                <c:pt idx="1">
                  <c:v>NKrishi index</c:v>
                </c:pt>
                <c:pt idx="2">
                  <c:v>MCX icomdex base metal</c:v>
                </c:pt>
                <c:pt idx="3">
                  <c:v>MCX icomdex crude oil </c:v>
                </c:pt>
                <c:pt idx="4">
                  <c:v>MCX icomdex bullion</c:v>
                </c:pt>
              </c:strCache>
            </c:strRef>
          </c:cat>
          <c:val>
            <c:numRef>
              <c:f>'Volatility chart'!$D$5:$D$9</c:f>
              <c:numCache>
                <c:formatCode>0.0</c:formatCode>
                <c:ptCount val="5"/>
                <c:pt idx="0">
                  <c:v>0.96129772701735516</c:v>
                </c:pt>
                <c:pt idx="1">
                  <c:v>0.55117920706412526</c:v>
                </c:pt>
                <c:pt idx="2">
                  <c:v>0.79020957869537656</c:v>
                </c:pt>
                <c:pt idx="3">
                  <c:v>3.9574500489480831</c:v>
                </c:pt>
                <c:pt idx="4">
                  <c:v>1.0993066039991688</c:v>
                </c:pt>
              </c:numCache>
            </c:numRef>
          </c:val>
          <c:extLst xmlns:c16r2="http://schemas.microsoft.com/office/drawing/2015/06/chart">
            <c:ext xmlns:c16="http://schemas.microsoft.com/office/drawing/2014/chart" uri="{C3380CC4-5D6E-409C-BE32-E72D297353CC}">
              <c16:uniqueId val="{00000006-ACF8-495F-B8BE-A1CC945DF288}"/>
            </c:ext>
          </c:extLst>
        </c:ser>
        <c:dLbls>
          <c:showLegendKey val="0"/>
          <c:showVal val="0"/>
          <c:showCatName val="0"/>
          <c:showSerName val="0"/>
          <c:showPercent val="0"/>
          <c:showBubbleSize val="0"/>
        </c:dLbls>
        <c:gapWidth val="75"/>
        <c:overlap val="-25"/>
        <c:axId val="472607368"/>
        <c:axId val="472650624"/>
      </c:barChart>
      <c:catAx>
        <c:axId val="472607368"/>
        <c:scaling>
          <c:orientation val="minMax"/>
        </c:scaling>
        <c:delete val="0"/>
        <c:axPos val="b"/>
        <c:numFmt formatCode="General" sourceLinked="0"/>
        <c:majorTickMark val="out"/>
        <c:minorTickMark val="cross"/>
        <c:tickLblPos val="nextTo"/>
        <c:spPr>
          <a:ln w="12700">
            <a:solidFill>
              <a:schemeClr val="tx1"/>
            </a:solidFill>
          </a:ln>
        </c:spPr>
        <c:txPr>
          <a:bodyPr anchor="b" anchorCtr="0"/>
          <a:lstStyle/>
          <a:p>
            <a:pPr>
              <a:defRPr sz="1100" b="1">
                <a:latin typeface="Garamond" panose="02020404030301010803" pitchFamily="18" charset="0"/>
                <a:cs typeface="Times New Roman" panose="02020603050405020304" pitchFamily="18" charset="0"/>
              </a:defRPr>
            </a:pPr>
            <a:endParaRPr lang="en-US"/>
          </a:p>
        </c:txPr>
        <c:crossAx val="472650624"/>
        <c:crosses val="autoZero"/>
        <c:auto val="1"/>
        <c:lblAlgn val="ctr"/>
        <c:lblOffset val="100"/>
        <c:noMultiLvlLbl val="0"/>
      </c:catAx>
      <c:valAx>
        <c:axId val="472650624"/>
        <c:scaling>
          <c:orientation val="minMax"/>
          <c:max val="4.2"/>
          <c:min val="-4"/>
        </c:scaling>
        <c:delete val="0"/>
        <c:axPos val="l"/>
        <c:majorGridlines>
          <c:spPr>
            <a:ln w="6350">
              <a:solidFill>
                <a:schemeClr val="bg1">
                  <a:lumMod val="85000"/>
                </a:schemeClr>
              </a:solidFill>
            </a:ln>
          </c:spPr>
        </c:majorGridlines>
        <c:numFmt formatCode="0" sourceLinked="0"/>
        <c:majorTickMark val="out"/>
        <c:minorTickMark val="none"/>
        <c:tickLblPos val="nextTo"/>
        <c:txPr>
          <a:bodyPr/>
          <a:lstStyle/>
          <a:p>
            <a:pPr>
              <a:defRPr>
                <a:latin typeface="Garamond" panose="02020404030301010803" pitchFamily="18" charset="0"/>
              </a:defRPr>
            </a:pPr>
            <a:endParaRPr lang="en-US"/>
          </a:p>
        </c:txPr>
        <c:crossAx val="472607368"/>
        <c:crosses val="autoZero"/>
        <c:crossBetween val="between"/>
        <c:majorUnit val="2"/>
      </c:valAx>
    </c:plotArea>
    <c:legend>
      <c:legendPos val="b"/>
      <c:layout>
        <c:manualLayout>
          <c:xMode val="edge"/>
          <c:yMode val="edge"/>
          <c:x val="0.27764280957417636"/>
          <c:y val="0.92427627102167786"/>
          <c:w val="0.56133381863342047"/>
          <c:h val="7.572372897832215E-2"/>
        </c:manualLayout>
      </c:layout>
      <c:overlay val="0"/>
      <c:txPr>
        <a:bodyPr/>
        <a:lstStyle/>
        <a:p>
          <a:pPr>
            <a:defRPr sz="1100" b="1">
              <a:latin typeface="Garamond" panose="02020404030301010803" pitchFamily="18" charset="0"/>
              <a:cs typeface="Times New Roman" panose="02020603050405020304" pitchFamily="18" charset="0"/>
            </a:defRPr>
          </a:pPr>
          <a:endParaRPr lang="en-US"/>
        </a:p>
      </c:txPr>
    </c:legend>
    <c:plotVisOnly val="1"/>
    <c:dispBlanksAs val="gap"/>
    <c:showDLblsOverMax val="0"/>
  </c:chart>
  <c:spPr>
    <a:ln cap="rnd">
      <a:solidFill>
        <a:schemeClr val="accent1"/>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MCX Futures (LHS)</c:v>
          </c:tx>
          <c:spPr>
            <a:solidFill>
              <a:srgbClr val="0070C0"/>
            </a:solidFill>
            <a:ln>
              <a:solidFill>
                <a:sysClr val="windowText" lastClr="000000"/>
              </a:solidFill>
            </a:ln>
            <a:effectLst/>
          </c:spPr>
          <c:invertIfNegative val="0"/>
          <c:cat>
            <c:numRef>
              <c:f>'Turnover charts'!$A$26:$A$37</c:f>
              <c:numCache>
                <c:formatCode>mmm\-yy</c:formatCode>
                <c:ptCount val="12"/>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numCache>
            </c:numRef>
          </c:cat>
          <c:val>
            <c:numRef>
              <c:f>'Turnover charts'!$B$26:$B$37</c:f>
              <c:numCache>
                <c:formatCode>_ * #,##0_ ;_ * \-#,##0_ ;_ * "-"??_ ;_ @_ </c:formatCode>
                <c:ptCount val="12"/>
                <c:pt idx="0">
                  <c:v>7922.7077328000023</c:v>
                </c:pt>
                <c:pt idx="1">
                  <c:v>8041</c:v>
                </c:pt>
                <c:pt idx="2" formatCode="#,##0">
                  <c:v>9155.3991984000022</c:v>
                </c:pt>
                <c:pt idx="3" formatCode="#,##0">
                  <c:v>8419.2546623999988</c:v>
                </c:pt>
                <c:pt idx="4" formatCode="#,##0">
                  <c:v>8064.5327172000007</c:v>
                </c:pt>
                <c:pt idx="5" formatCode="#,##0">
                  <c:v>9706.7168512000007</c:v>
                </c:pt>
                <c:pt idx="6" formatCode="#,##0">
                  <c:v>10805.720484200001</c:v>
                </c:pt>
                <c:pt idx="7" formatCode="#,##0">
                  <c:v>11255.649245000004</c:v>
                </c:pt>
                <c:pt idx="8" formatCode="#,##0">
                  <c:v>7662.3974959999987</c:v>
                </c:pt>
                <c:pt idx="9" formatCode="#,##0">
                  <c:v>7308.1424303999993</c:v>
                </c:pt>
                <c:pt idx="10" formatCode="#,##0">
                  <c:v>6031.4300457999989</c:v>
                </c:pt>
                <c:pt idx="11" formatCode="#,##0">
                  <c:v>4399.3625499999998</c:v>
                </c:pt>
              </c:numCache>
            </c:numRef>
          </c:val>
          <c:extLst xmlns:c16r2="http://schemas.microsoft.com/office/drawing/2015/06/chart">
            <c:ext xmlns:c16="http://schemas.microsoft.com/office/drawing/2014/chart" uri="{C3380CC4-5D6E-409C-BE32-E72D297353CC}">
              <c16:uniqueId val="{00000000-29B8-4B77-A532-EE85D17365B5}"/>
            </c:ext>
          </c:extLst>
        </c:ser>
        <c:ser>
          <c:idx val="1"/>
          <c:order val="1"/>
          <c:tx>
            <c:strRef>
              <c:f>'Turnover charts'!$C$3</c:f>
              <c:strCache>
                <c:ptCount val="1"/>
                <c:pt idx="0">
                  <c:v>NCDEX Agri Futures &amp; Options (LHS)</c:v>
                </c:pt>
              </c:strCache>
            </c:strRef>
          </c:tx>
          <c:spPr>
            <a:solidFill>
              <a:srgbClr val="00B050"/>
            </a:solidFill>
            <a:ln>
              <a:solidFill>
                <a:sysClr val="windowText" lastClr="000000"/>
              </a:solidFill>
            </a:ln>
            <a:effectLst/>
          </c:spPr>
          <c:invertIfNegative val="0"/>
          <c:cat>
            <c:numRef>
              <c:f>'Turnover charts'!$A$26:$A$37</c:f>
              <c:numCache>
                <c:formatCode>mmm\-yy</c:formatCode>
                <c:ptCount val="12"/>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numCache>
            </c:numRef>
          </c:cat>
          <c:val>
            <c:numRef>
              <c:f>'Turnover charts'!$C$26:$C$37</c:f>
              <c:numCache>
                <c:formatCode>_ * #,##0_ ;_ * \-#,##0_ ;_ * "-"??_ ;_ @_ </c:formatCode>
                <c:ptCount val="12"/>
                <c:pt idx="0">
                  <c:v>54066.129295000006</c:v>
                </c:pt>
                <c:pt idx="1">
                  <c:v>57367.91</c:v>
                </c:pt>
                <c:pt idx="2">
                  <c:v>35480.986544999971</c:v>
                </c:pt>
                <c:pt idx="3">
                  <c:v>41601.679790000017</c:v>
                </c:pt>
                <c:pt idx="4" formatCode="#,##0">
                  <c:v>29092.05000000001</c:v>
                </c:pt>
                <c:pt idx="5" formatCode="#,##0">
                  <c:v>32694.058799999984</c:v>
                </c:pt>
                <c:pt idx="6" formatCode="#,##0">
                  <c:v>47776.764624999982</c:v>
                </c:pt>
                <c:pt idx="7" formatCode="#,##0">
                  <c:v>48404.986629999963</c:v>
                </c:pt>
                <c:pt idx="8" formatCode="#,##0">
                  <c:v>40097.302365000025</c:v>
                </c:pt>
                <c:pt idx="9" formatCode="#,##0">
                  <c:v>43910.795444999931</c:v>
                </c:pt>
                <c:pt idx="10" formatCode="#,##0">
                  <c:v>38311.310000000012</c:v>
                </c:pt>
                <c:pt idx="11" formatCode="#,##0">
                  <c:v>35117.179214999982</c:v>
                </c:pt>
              </c:numCache>
            </c:numRef>
          </c:val>
          <c:extLst xmlns:c16r2="http://schemas.microsoft.com/office/drawing/2015/06/chart">
            <c:ext xmlns:c16="http://schemas.microsoft.com/office/drawing/2014/chart" uri="{C3380CC4-5D6E-409C-BE32-E72D297353CC}">
              <c16:uniqueId val="{00000001-29B8-4B77-A532-EE85D17365B5}"/>
            </c:ext>
          </c:extLst>
        </c:ser>
        <c:dLbls>
          <c:showLegendKey val="0"/>
          <c:showVal val="0"/>
          <c:showCatName val="0"/>
          <c:showSerName val="0"/>
          <c:showPercent val="0"/>
          <c:showBubbleSize val="0"/>
        </c:dLbls>
        <c:gapWidth val="219"/>
        <c:overlap val="-27"/>
        <c:axId val="472657680"/>
        <c:axId val="472653760"/>
      </c:barChart>
      <c:lineChart>
        <c:grouping val="standard"/>
        <c:varyColors val="0"/>
        <c:ser>
          <c:idx val="2"/>
          <c:order val="2"/>
          <c:tx>
            <c:strRef>
              <c:f>'Turnover charts'!$D$3</c:f>
              <c:strCache>
                <c:ptCount val="1"/>
                <c:pt idx="0">
                  <c:v>ICEX Agri Futures (RHS)</c:v>
                </c:pt>
              </c:strCache>
            </c:strRef>
          </c:tx>
          <c:spPr>
            <a:ln w="28575" cap="rnd">
              <a:solidFill>
                <a:srgbClr val="FF0000"/>
              </a:solidFill>
              <a:round/>
            </a:ln>
            <a:effectLst/>
          </c:spPr>
          <c:marker>
            <c:symbol val="none"/>
          </c:marker>
          <c:cat>
            <c:numRef>
              <c:f>'Turnover charts'!$A$26:$A$37</c:f>
              <c:numCache>
                <c:formatCode>mmm\-yy</c:formatCode>
                <c:ptCount val="5"/>
                <c:pt idx="0">
                  <c:v>43586</c:v>
                </c:pt>
                <c:pt idx="1">
                  <c:v>43617</c:v>
                </c:pt>
                <c:pt idx="2">
                  <c:v>43647</c:v>
                </c:pt>
                <c:pt idx="3">
                  <c:v>43678</c:v>
                </c:pt>
                <c:pt idx="4">
                  <c:v>43709</c:v>
                </c:pt>
              </c:numCache>
            </c:numRef>
          </c:cat>
          <c:val>
            <c:numRef>
              <c:f>'Turnover charts'!$D$4:$D$37</c:f>
              <c:numCache>
                <c:formatCode>General</c:formatCode>
                <c:ptCount val="12"/>
                <c:pt idx="0" formatCode="0">
                  <c:v>135</c:v>
                </c:pt>
                <c:pt idx="1">
                  <c:v>77</c:v>
                </c:pt>
                <c:pt idx="2" formatCode="0">
                  <c:v>126.75</c:v>
                </c:pt>
                <c:pt idx="3" formatCode="0">
                  <c:v>169.87</c:v>
                </c:pt>
                <c:pt idx="4" formatCode="#,##0">
                  <c:v>189.9</c:v>
                </c:pt>
                <c:pt idx="5" formatCode="#,##0">
                  <c:v>238.73</c:v>
                </c:pt>
                <c:pt idx="6" formatCode="#,##0">
                  <c:v>240.06</c:v>
                </c:pt>
                <c:pt idx="7" formatCode="#,##0">
                  <c:v>425.51</c:v>
                </c:pt>
                <c:pt idx="8" formatCode="#,##0">
                  <c:v>528.39</c:v>
                </c:pt>
                <c:pt idx="9" formatCode="#,##0">
                  <c:v>728.31</c:v>
                </c:pt>
                <c:pt idx="10" formatCode="#,##0">
                  <c:v>729.24</c:v>
                </c:pt>
                <c:pt idx="11" formatCode="#,##0">
                  <c:v>557.74860000000001</c:v>
                </c:pt>
              </c:numCache>
            </c:numRef>
          </c:val>
          <c:smooth val="0"/>
          <c:extLst xmlns:c16r2="http://schemas.microsoft.com/office/drawing/2015/06/chart">
            <c:ext xmlns:c16="http://schemas.microsoft.com/office/drawing/2014/chart" uri="{C3380CC4-5D6E-409C-BE32-E72D297353CC}">
              <c16:uniqueId val="{00000002-29B8-4B77-A532-EE85D17365B5}"/>
            </c:ext>
          </c:extLst>
        </c:ser>
        <c:ser>
          <c:idx val="3"/>
          <c:order val="3"/>
          <c:tx>
            <c:strRef>
              <c:f>'Turnover charts'!$E$3</c:f>
              <c:strCache>
                <c:ptCount val="1"/>
                <c:pt idx="0">
                  <c:v>BSE Agri Futures (RHS)</c:v>
                </c:pt>
              </c:strCache>
            </c:strRef>
          </c:tx>
          <c:spPr>
            <a:ln w="28575" cap="rnd">
              <a:solidFill>
                <a:srgbClr val="002060"/>
              </a:solidFill>
              <a:round/>
            </a:ln>
            <a:effectLst/>
          </c:spPr>
          <c:marker>
            <c:symbol val="none"/>
          </c:marker>
          <c:cat>
            <c:numRef>
              <c:f>'Turnover charts'!$A$26:$A$37</c:f>
              <c:numCache>
                <c:formatCode>mmm\-yy</c:formatCode>
                <c:ptCount val="5"/>
                <c:pt idx="0">
                  <c:v>43586</c:v>
                </c:pt>
                <c:pt idx="1">
                  <c:v>43617</c:v>
                </c:pt>
                <c:pt idx="2">
                  <c:v>43647</c:v>
                </c:pt>
                <c:pt idx="3">
                  <c:v>43678</c:v>
                </c:pt>
                <c:pt idx="4">
                  <c:v>43709</c:v>
                </c:pt>
              </c:numCache>
            </c:numRef>
          </c:cat>
          <c:val>
            <c:numRef>
              <c:f>'Turnover charts'!$E$4:$E$37</c:f>
              <c:numCache>
                <c:formatCode>General</c:formatCode>
                <c:ptCount val="12"/>
                <c:pt idx="4" formatCode="#,##0">
                  <c:v>1817.61805</c:v>
                </c:pt>
                <c:pt idx="5" formatCode="#,##0">
                  <c:v>2901.27</c:v>
                </c:pt>
                <c:pt idx="6" formatCode="#,##0">
                  <c:v>2771.82</c:v>
                </c:pt>
                <c:pt idx="7" formatCode="#,##0">
                  <c:v>3483.45</c:v>
                </c:pt>
                <c:pt idx="8" formatCode="#,##0">
                  <c:v>2631.23</c:v>
                </c:pt>
                <c:pt idx="9" formatCode="#,##0">
                  <c:v>4062.41</c:v>
                </c:pt>
                <c:pt idx="10" formatCode="#,##0">
                  <c:v>4491.3999999999996</c:v>
                </c:pt>
                <c:pt idx="11" formatCode="#,##0">
                  <c:v>3378.8488450000004</c:v>
                </c:pt>
              </c:numCache>
            </c:numRef>
          </c:val>
          <c:smooth val="0"/>
          <c:extLst xmlns:c16r2="http://schemas.microsoft.com/office/drawing/2015/06/chart">
            <c:ext xmlns:c16="http://schemas.microsoft.com/office/drawing/2014/chart" uri="{C3380CC4-5D6E-409C-BE32-E72D297353CC}">
              <c16:uniqueId val="{00000003-29B8-4B77-A532-EE85D17365B5}"/>
            </c:ext>
          </c:extLst>
        </c:ser>
        <c:dLbls>
          <c:showLegendKey val="0"/>
          <c:showVal val="0"/>
          <c:showCatName val="0"/>
          <c:showSerName val="0"/>
          <c:showPercent val="0"/>
          <c:showBubbleSize val="0"/>
        </c:dLbls>
        <c:marker val="1"/>
        <c:smooth val="0"/>
        <c:axId val="472651800"/>
        <c:axId val="472655328"/>
      </c:lineChart>
      <c:dateAx>
        <c:axId val="472657680"/>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1050" b="1" i="0" u="none" strike="noStrike" kern="1200" baseline="0">
                <a:solidFill>
                  <a:sysClr val="windowText" lastClr="000000"/>
                </a:solidFill>
                <a:latin typeface="Garamond" panose="02020404030301010803" pitchFamily="18" charset="0"/>
                <a:ea typeface="+mn-ea"/>
                <a:cs typeface="+mn-cs"/>
              </a:defRPr>
            </a:pPr>
            <a:endParaRPr lang="en-US"/>
          </a:p>
        </c:txPr>
        <c:crossAx val="472653760"/>
        <c:crosses val="autoZero"/>
        <c:auto val="0"/>
        <c:lblOffset val="100"/>
        <c:baseTimeUnit val="months"/>
        <c:majorUnit val="1"/>
        <c:majorTimeUnit val="months"/>
      </c:dateAx>
      <c:valAx>
        <c:axId val="472653760"/>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sz="1000" b="0" i="0" baseline="0">
                    <a:effectLst/>
                  </a:rPr>
                  <a:t>₹</a:t>
                </a:r>
                <a:r>
                  <a:rPr lang="en-IN" sz="1000" b="0" i="0" baseline="0">
                    <a:effectLst/>
                  </a:rPr>
                  <a:t> crore</a:t>
                </a:r>
                <a:endParaRPr lang="en-IN"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crossAx val="472657680"/>
        <c:crosses val="autoZero"/>
        <c:crossBetween val="between"/>
      </c:valAx>
      <c:valAx>
        <c:axId val="472655328"/>
        <c:scaling>
          <c:orientation val="minMax"/>
          <c:max val="5000"/>
          <c:min val="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sz="1000" b="0" i="0" baseline="0">
                    <a:effectLst/>
                  </a:rPr>
                  <a:t>₹</a:t>
                </a:r>
                <a:r>
                  <a:rPr lang="en-IN" sz="1000" b="0" i="0" baseline="0">
                    <a:effectLst/>
                  </a:rPr>
                  <a:t> crore</a:t>
                </a:r>
                <a:endParaRPr lang="en-IN"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crossAx val="472651800"/>
        <c:crosses val="max"/>
        <c:crossBetween val="between"/>
        <c:majorUnit val="1000"/>
      </c:valAx>
      <c:dateAx>
        <c:axId val="472651800"/>
        <c:scaling>
          <c:orientation val="minMax"/>
        </c:scaling>
        <c:delete val="1"/>
        <c:axPos val="b"/>
        <c:numFmt formatCode="mmm\-yy" sourceLinked="1"/>
        <c:majorTickMark val="out"/>
        <c:minorTickMark val="none"/>
        <c:tickLblPos val="nextTo"/>
        <c:crossAx val="472655328"/>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sz="1050">
          <a:solidFill>
            <a:sysClr val="windowText" lastClr="000000"/>
          </a:solidFill>
          <a:latin typeface="Garamond" panose="02020404030301010803"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28495495851964"/>
          <c:y val="2.5425351242859349E-2"/>
          <c:w val="0.80845088592320657"/>
          <c:h val="0.72457814568050793"/>
        </c:manualLayout>
      </c:layout>
      <c:barChart>
        <c:barDir val="col"/>
        <c:grouping val="stacked"/>
        <c:varyColors val="0"/>
        <c:ser>
          <c:idx val="0"/>
          <c:order val="0"/>
          <c:tx>
            <c:strRef>
              <c:f>'Turnover charts'!$J$3</c:f>
              <c:strCache>
                <c:ptCount val="1"/>
                <c:pt idx="0">
                  <c:v>MCX Futures (LHS)</c:v>
                </c:pt>
              </c:strCache>
            </c:strRef>
          </c:tx>
          <c:spPr>
            <a:solidFill>
              <a:schemeClr val="accent1"/>
            </a:solidFill>
            <a:ln>
              <a:noFill/>
            </a:ln>
            <a:effectLst/>
          </c:spPr>
          <c:invertIfNegative val="0"/>
          <c:cat>
            <c:numRef>
              <c:f>'Turnover charts'!$I$4:$I$37</c:f>
              <c:numCache>
                <c:formatCode>mmm\-yy</c:formatCode>
                <c:ptCount val="12"/>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numCache>
            </c:numRef>
          </c:cat>
          <c:val>
            <c:numRef>
              <c:f>'Turnover charts'!$J$4:$J$37</c:f>
              <c:numCache>
                <c:formatCode>_(* #,##0_);_(* \(#,##0\);_(* "-"??_);_(@_)</c:formatCode>
                <c:ptCount val="12"/>
                <c:pt idx="0">
                  <c:v>602393.52301564987</c:v>
                </c:pt>
                <c:pt idx="1">
                  <c:v>560373.39216535003</c:v>
                </c:pt>
                <c:pt idx="2">
                  <c:v>515431.74569595006</c:v>
                </c:pt>
                <c:pt idx="3">
                  <c:v>600469.55308069987</c:v>
                </c:pt>
                <c:pt idx="4">
                  <c:v>532389.84253700008</c:v>
                </c:pt>
                <c:pt idx="5">
                  <c:v>567761.35483295005</c:v>
                </c:pt>
                <c:pt idx="6">
                  <c:v>516307.34400520008</c:v>
                </c:pt>
                <c:pt idx="7">
                  <c:v>615537.92995134997</c:v>
                </c:pt>
                <c:pt idx="8">
                  <c:v>569240.9336420499</c:v>
                </c:pt>
                <c:pt idx="9">
                  <c:v>716525.07049199997</c:v>
                </c:pt>
                <c:pt idx="10">
                  <c:v>728211.15374000021</c:v>
                </c:pt>
                <c:pt idx="11">
                  <c:v>781695.78193319985</c:v>
                </c:pt>
              </c:numCache>
            </c:numRef>
          </c:val>
          <c:extLst xmlns:c16r2="http://schemas.microsoft.com/office/drawing/2015/06/chart">
            <c:ext xmlns:c16="http://schemas.microsoft.com/office/drawing/2014/chart" uri="{C3380CC4-5D6E-409C-BE32-E72D297353CC}">
              <c16:uniqueId val="{00000000-C177-4913-BEE1-9DF0C38D5B27}"/>
            </c:ext>
          </c:extLst>
        </c:ser>
        <c:ser>
          <c:idx val="1"/>
          <c:order val="1"/>
          <c:tx>
            <c:strRef>
              <c:f>'Turnover charts'!$K$3</c:f>
              <c:strCache>
                <c:ptCount val="1"/>
                <c:pt idx="0">
                  <c:v>MCX Options (LHS)</c:v>
                </c:pt>
              </c:strCache>
            </c:strRef>
          </c:tx>
          <c:spPr>
            <a:solidFill>
              <a:schemeClr val="accent2"/>
            </a:solidFill>
            <a:ln w="12700">
              <a:solidFill>
                <a:schemeClr val="tx1">
                  <a:lumMod val="75000"/>
                  <a:lumOff val="25000"/>
                </a:schemeClr>
              </a:solidFill>
            </a:ln>
            <a:effectLst/>
          </c:spPr>
          <c:invertIfNegative val="0"/>
          <c:dLbls>
            <c:dLbl>
              <c:idx val="0"/>
              <c:layout>
                <c:manualLayout>
                  <c:x val="-7.0342923038677063E-17"/>
                  <c:y val="-4.48179271708683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177-4913-BEE1-9DF0C38D5B27}"/>
                </c:ext>
                <c:ext xmlns:c15="http://schemas.microsoft.com/office/drawing/2012/chart" uri="{CE6537A1-D6FC-4f65-9D91-7224C49458BB}"/>
              </c:extLst>
            </c:dLbl>
            <c:dLbl>
              <c:idx val="1"/>
              <c:layout>
                <c:manualLayout>
                  <c:x val="1.9184655176216344E-3"/>
                  <c:y val="-4.48179271708683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177-4913-BEE1-9DF0C38D5B27}"/>
                </c:ext>
                <c:ext xmlns:c15="http://schemas.microsoft.com/office/drawing/2012/chart" uri="{CE6537A1-D6FC-4f65-9D91-7224C49458BB}"/>
              </c:extLst>
            </c:dLbl>
            <c:dLbl>
              <c:idx val="2"/>
              <c:layout>
                <c:manualLayout>
                  <c:x val="2.1030494216613704E-3"/>
                  <c:y val="-0.1161501059016416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177-4913-BEE1-9DF0C38D5B27}"/>
                </c:ext>
                <c:ext xmlns:c15="http://schemas.microsoft.com/office/drawing/2012/chart" uri="{CE6537A1-D6FC-4f65-9D91-7224C49458BB}"/>
              </c:extLst>
            </c:dLbl>
            <c:dLbl>
              <c:idx val="3"/>
              <c:layout>
                <c:manualLayout>
                  <c:x val="0"/>
                  <c:y val="-4.85527544351073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177-4913-BEE1-9DF0C38D5B27}"/>
                </c:ext>
                <c:ext xmlns:c15="http://schemas.microsoft.com/office/drawing/2012/chart" uri="{CE6537A1-D6FC-4f65-9D91-7224C49458BB}"/>
              </c:extLst>
            </c:dLbl>
            <c:dLbl>
              <c:idx val="4"/>
              <c:layout>
                <c:manualLayout>
                  <c:x val="1.4721345951629864E-2"/>
                  <c:y val="-0.1227223406725633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177-4913-BEE1-9DF0C38D5B27}"/>
                </c:ext>
                <c:ext xmlns:c15="http://schemas.microsoft.com/office/drawing/2012/chart" uri="{CE6537A1-D6FC-4f65-9D91-7224C49458BB}"/>
              </c:extLst>
            </c:dLbl>
            <c:dLbl>
              <c:idx val="5"/>
              <c:layout>
                <c:manualLayout>
                  <c:x val="-2.103049421661409E-3"/>
                  <c:y val="-3.19148936170213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177-4913-BEE1-9DF0C38D5B27}"/>
                </c:ext>
                <c:ext xmlns:c15="http://schemas.microsoft.com/office/drawing/2012/chart" uri="{CE6537A1-D6FC-4f65-9D91-7224C49458BB}"/>
              </c:extLst>
            </c:dLbl>
            <c:dLbl>
              <c:idx val="6"/>
              <c:layout>
                <c:manualLayout>
                  <c:x val="-7.7110921335641591E-17"/>
                  <c:y val="-3.90070921985815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177-4913-BEE1-9DF0C38D5B27}"/>
                </c:ext>
                <c:ext xmlns:c15="http://schemas.microsoft.com/office/drawing/2012/chart" uri="{CE6537A1-D6FC-4f65-9D91-7224C49458BB}"/>
              </c:extLst>
            </c:dLbl>
            <c:dLbl>
              <c:idx val="7"/>
              <c:layout>
                <c:manualLayout>
                  <c:x val="-2.1030494216614862E-3"/>
                  <c:y val="-4.96453900709220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177-4913-BEE1-9DF0C38D5B27}"/>
                </c:ext>
                <c:ext xmlns:c15="http://schemas.microsoft.com/office/drawing/2012/chart" uri="{CE6537A1-D6FC-4f65-9D91-7224C49458BB}"/>
              </c:extLst>
            </c:dLbl>
            <c:dLbl>
              <c:idx val="8"/>
              <c:layout>
                <c:manualLayout>
                  <c:x val="6.3091482649842269E-3"/>
                  <c:y val="-5.86248394482604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177-4913-BEE1-9DF0C38D5B27}"/>
                </c:ext>
                <c:ext xmlns:c15="http://schemas.microsoft.com/office/drawing/2012/chart" uri="{CE6537A1-D6FC-4f65-9D91-7224C49458BB}"/>
              </c:extLst>
            </c:dLbl>
            <c:dLbl>
              <c:idx val="9"/>
              <c:layout>
                <c:manualLayout>
                  <c:x val="-4.206098843322818E-3"/>
                  <c:y val="-4.25531914893617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C177-4913-BEE1-9DF0C38D5B27}"/>
                </c:ext>
                <c:ext xmlns:c15="http://schemas.microsoft.com/office/drawing/2012/chart" uri="{CE6537A1-D6FC-4f65-9D91-7224C49458BB}"/>
              </c:extLst>
            </c:dLbl>
            <c:dLbl>
              <c:idx val="10"/>
              <c:layout>
                <c:manualLayout>
                  <c:x val="-2.1030494216615634E-3"/>
                  <c:y val="-4.60992907801418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177-4913-BEE1-9DF0C38D5B27}"/>
                </c:ext>
                <c:ext xmlns:c15="http://schemas.microsoft.com/office/drawing/2012/chart" uri="{CE6537A1-D6FC-4f65-9D91-7224C49458BB}"/>
              </c:extLst>
            </c:dLbl>
            <c:dLbl>
              <c:idx val="11"/>
              <c:layout>
                <c:manualLayout>
                  <c:x val="0"/>
                  <c:y val="-3.9007092198581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C177-4913-BEE1-9DF0C38D5B2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'Turnover charts'!$I$4:$I$37</c:f>
              <c:numCache>
                <c:formatCode>mmm\-yy</c:formatCode>
                <c:ptCount val="12"/>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numCache>
            </c:numRef>
          </c:cat>
          <c:val>
            <c:numRef>
              <c:f>'Turnover charts'!$K$4:$K$37</c:f>
              <c:numCache>
                <c:formatCode>_(* #,##0_);_(* \(#,##0\);_(* "-"??_);_(@_)</c:formatCode>
                <c:ptCount val="12"/>
                <c:pt idx="0">
                  <c:v>15644.809233</c:v>
                </c:pt>
                <c:pt idx="1">
                  <c:v>10235</c:v>
                </c:pt>
                <c:pt idx="2">
                  <c:v>9813.9104735000001</c:v>
                </c:pt>
                <c:pt idx="3">
                  <c:v>10472.720000000001</c:v>
                </c:pt>
                <c:pt idx="4">
                  <c:v>9291.3051825000002</c:v>
                </c:pt>
                <c:pt idx="5">
                  <c:v>12651.029999999999</c:v>
                </c:pt>
                <c:pt idx="6">
                  <c:v>8685.2468800000024</c:v>
                </c:pt>
                <c:pt idx="7">
                  <c:v>16861.852479000001</c:v>
                </c:pt>
                <c:pt idx="8">
                  <c:v>14616.749534499999</c:v>
                </c:pt>
                <c:pt idx="9">
                  <c:v>21042.732529500005</c:v>
                </c:pt>
                <c:pt idx="10">
                  <c:v>23329.757045500002</c:v>
                </c:pt>
                <c:pt idx="11">
                  <c:v>31458.273172000001</c:v>
                </c:pt>
              </c:numCache>
            </c:numRef>
          </c:val>
          <c:extLst xmlns:c16r2="http://schemas.microsoft.com/office/drawing/2015/06/chart">
            <c:ext xmlns:c16="http://schemas.microsoft.com/office/drawing/2014/chart" uri="{C3380CC4-5D6E-409C-BE32-E72D297353CC}">
              <c16:uniqueId val="{0000000D-C177-4913-BEE1-9DF0C38D5B27}"/>
            </c:ext>
          </c:extLst>
        </c:ser>
        <c:dLbls>
          <c:showLegendKey val="0"/>
          <c:showVal val="0"/>
          <c:showCatName val="0"/>
          <c:showSerName val="0"/>
          <c:showPercent val="0"/>
          <c:showBubbleSize val="0"/>
        </c:dLbls>
        <c:gapWidth val="219"/>
        <c:overlap val="100"/>
        <c:axId val="472658072"/>
        <c:axId val="472654152"/>
      </c:barChart>
      <c:lineChart>
        <c:grouping val="standard"/>
        <c:varyColors val="0"/>
        <c:ser>
          <c:idx val="2"/>
          <c:order val="2"/>
          <c:tx>
            <c:strRef>
              <c:f>'Turnover charts'!$L$3</c:f>
              <c:strCache>
                <c:ptCount val="1"/>
                <c:pt idx="0">
                  <c:v>BSE Futures (RHS)</c:v>
                </c:pt>
              </c:strCache>
            </c:strRef>
          </c:tx>
          <c:spPr>
            <a:ln w="28575" cap="rnd">
              <a:solidFill>
                <a:srgbClr val="FF0000"/>
              </a:solidFill>
              <a:round/>
            </a:ln>
            <a:effectLst/>
          </c:spPr>
          <c:marker>
            <c:symbol val="none"/>
          </c:marker>
          <c:cat>
            <c:numRef>
              <c:f>'Turnover charts'!$I$4:$I$37</c:f>
              <c:numCache>
                <c:formatCode>mmm\-yy</c:formatCode>
                <c:ptCount val="12"/>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numCache>
            </c:numRef>
          </c:cat>
          <c:val>
            <c:numRef>
              <c:f>'Turnover charts'!$L$4:$L$37</c:f>
              <c:numCache>
                <c:formatCode>_(* #,##0_);_(* \(#,##0\);_(* "-"??_);_(@_)</c:formatCode>
                <c:ptCount val="12"/>
                <c:pt idx="0">
                  <c:v>7049.36</c:v>
                </c:pt>
                <c:pt idx="1">
                  <c:v>7228.18</c:v>
                </c:pt>
                <c:pt idx="2">
                  <c:v>3754.7995000000001</c:v>
                </c:pt>
                <c:pt idx="3">
                  <c:v>6538.5090380000001</c:v>
                </c:pt>
                <c:pt idx="4">
                  <c:v>1990.250556</c:v>
                </c:pt>
                <c:pt idx="5">
                  <c:v>1523.74</c:v>
                </c:pt>
                <c:pt idx="6">
                  <c:v>2218.23</c:v>
                </c:pt>
                <c:pt idx="7">
                  <c:v>2157.7899499999999</c:v>
                </c:pt>
                <c:pt idx="8">
                  <c:v>1756.83</c:v>
                </c:pt>
                <c:pt idx="9">
                  <c:v>713.38525000000004</c:v>
                </c:pt>
                <c:pt idx="10">
                  <c:v>521.28</c:v>
                </c:pt>
                <c:pt idx="11">
                  <c:v>523.60118499999999</c:v>
                </c:pt>
              </c:numCache>
            </c:numRef>
          </c:val>
          <c:smooth val="0"/>
          <c:extLst xmlns:c16r2="http://schemas.microsoft.com/office/drawing/2015/06/chart">
            <c:ext xmlns:c16="http://schemas.microsoft.com/office/drawing/2014/chart" uri="{C3380CC4-5D6E-409C-BE32-E72D297353CC}">
              <c16:uniqueId val="{0000000E-C177-4913-BEE1-9DF0C38D5B27}"/>
            </c:ext>
          </c:extLst>
        </c:ser>
        <c:ser>
          <c:idx val="3"/>
          <c:order val="3"/>
          <c:tx>
            <c:strRef>
              <c:f>'Turnover charts'!$M$3</c:f>
              <c:strCache>
                <c:ptCount val="1"/>
                <c:pt idx="0">
                  <c:v>NSE Futures (RHS)</c:v>
                </c:pt>
              </c:strCache>
            </c:strRef>
          </c:tx>
          <c:spPr>
            <a:ln w="28575" cap="rnd">
              <a:solidFill>
                <a:schemeClr val="accent6">
                  <a:lumMod val="75000"/>
                </a:schemeClr>
              </a:solidFill>
              <a:round/>
            </a:ln>
            <a:effectLst/>
          </c:spPr>
          <c:marker>
            <c:symbol val="none"/>
          </c:marker>
          <c:cat>
            <c:numRef>
              <c:f>'Turnover charts'!$I$4:$I$37</c:f>
              <c:numCache>
                <c:formatCode>mmm\-yy</c:formatCode>
                <c:ptCount val="12"/>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numCache>
            </c:numRef>
          </c:cat>
          <c:val>
            <c:numRef>
              <c:f>'Turnover charts'!$M$4:$M$37</c:f>
              <c:numCache>
                <c:formatCode>_(* #,##0_);_(* \(#,##0\);_(* "-"??_);_(@_)</c:formatCode>
                <c:ptCount val="12"/>
                <c:pt idx="0">
                  <c:v>696</c:v>
                </c:pt>
                <c:pt idx="1">
                  <c:v>838</c:v>
                </c:pt>
                <c:pt idx="2">
                  <c:v>532.61176099999989</c:v>
                </c:pt>
                <c:pt idx="3">
                  <c:v>448.81896000000006</c:v>
                </c:pt>
                <c:pt idx="4">
                  <c:v>498.68747400000018</c:v>
                </c:pt>
                <c:pt idx="5">
                  <c:v>429.59991599999989</c:v>
                </c:pt>
                <c:pt idx="6" formatCode="_ * #,##0_ ;_ * \-#,##0_ ;_ * &quot;-&quot;??_ ;_ @_ ">
                  <c:v>489.78634199999982</c:v>
                </c:pt>
                <c:pt idx="7" formatCode="_ * #,##0_ ;_ * \-#,##0_ ;_ * &quot;-&quot;??_ ;_ @_ ">
                  <c:v>442.31177699999989</c:v>
                </c:pt>
                <c:pt idx="8" formatCode="_ * #,##0_ ;_ * \-#,##0_ ;_ * &quot;-&quot;??_ ;_ @_ ">
                  <c:v>433.71475299999997</c:v>
                </c:pt>
                <c:pt idx="9" formatCode="_ * #,##0_ ;_ * \-#,##0_ ;_ * &quot;-&quot;??_ ;_ @_ ">
                  <c:v>503.29481899999996</c:v>
                </c:pt>
                <c:pt idx="10" formatCode="_ * #,##0_ ;_ * \-#,##0_ ;_ * &quot;-&quot;??_ ;_ @_ ">
                  <c:v>1488.9719589999997</c:v>
                </c:pt>
                <c:pt idx="11" formatCode="_ * #,##0_ ;_ * \-#,##0_ ;_ * &quot;-&quot;??_ ;_ @_ ">
                  <c:v>935.04276299999981</c:v>
                </c:pt>
              </c:numCache>
            </c:numRef>
          </c:val>
          <c:smooth val="0"/>
          <c:extLst xmlns:c16r2="http://schemas.microsoft.com/office/drawing/2015/06/chart">
            <c:ext xmlns:c16="http://schemas.microsoft.com/office/drawing/2014/chart" uri="{C3380CC4-5D6E-409C-BE32-E72D297353CC}">
              <c16:uniqueId val="{0000000F-C177-4913-BEE1-9DF0C38D5B27}"/>
            </c:ext>
          </c:extLst>
        </c:ser>
        <c:ser>
          <c:idx val="4"/>
          <c:order val="4"/>
          <c:tx>
            <c:strRef>
              <c:f>'Turnover charts'!$N$3</c:f>
              <c:strCache>
                <c:ptCount val="1"/>
                <c:pt idx="0">
                  <c:v>ICEX Futures (RHS)</c:v>
                </c:pt>
              </c:strCache>
            </c:strRef>
          </c:tx>
          <c:spPr>
            <a:ln w="28575" cap="rnd">
              <a:solidFill>
                <a:srgbClr val="FFC000"/>
              </a:solidFill>
              <a:round/>
            </a:ln>
            <a:effectLst/>
          </c:spPr>
          <c:marker>
            <c:symbol val="none"/>
          </c:marker>
          <c:cat>
            <c:numRef>
              <c:f>'Turnover charts'!$I$4:$I$37</c:f>
              <c:numCache>
                <c:formatCode>mmm\-yy</c:formatCode>
                <c:ptCount val="12"/>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numCache>
            </c:numRef>
          </c:cat>
          <c:val>
            <c:numRef>
              <c:f>'Turnover charts'!$N$4:$N$37</c:f>
              <c:numCache>
                <c:formatCode>_(* #,##0_);_(* \(#,##0\);_(* "-"??_);_(@_)</c:formatCode>
                <c:ptCount val="12"/>
                <c:pt idx="0">
                  <c:v>1605.41</c:v>
                </c:pt>
                <c:pt idx="1">
                  <c:v>2282</c:v>
                </c:pt>
                <c:pt idx="2">
                  <c:v>2864.81</c:v>
                </c:pt>
                <c:pt idx="3">
                  <c:v>3465.17</c:v>
                </c:pt>
                <c:pt idx="4" formatCode="_ * #,##0_ ;_ * \-#,##0_ ;_ * &quot;-&quot;??_ ;_ @_ ">
                  <c:v>5142.6001000000006</c:v>
                </c:pt>
                <c:pt idx="5" formatCode="_ * #,##0_ ;_ * \-#,##0_ ;_ * &quot;-&quot;??_ ;_ @_ ">
                  <c:v>4639</c:v>
                </c:pt>
                <c:pt idx="6" formatCode="_ * #,##0_ ;_ * \-#,##0_ ;_ * &quot;-&quot;??_ ;_ @_ ">
                  <c:v>4213.75</c:v>
                </c:pt>
                <c:pt idx="7" formatCode="_ * #,##0_ ;_ * \-#,##0_ ;_ * &quot;-&quot;??_ ;_ @_ ">
                  <c:v>4377.28</c:v>
                </c:pt>
                <c:pt idx="8" formatCode="_ * #,##0_ ;_ * \-#,##0_ ;_ * &quot;-&quot;??_ ;_ @_ ">
                  <c:v>2098.69</c:v>
                </c:pt>
                <c:pt idx="9" formatCode="_ * #,##0_ ;_ * \-#,##0_ ;_ * &quot;-&quot;??_ ;_ @_ ">
                  <c:v>1620.43</c:v>
                </c:pt>
                <c:pt idx="10" formatCode="_ * #,##0_ ;_ * \-#,##0_ ;_ * &quot;-&quot;??_ ;_ @_ ">
                  <c:v>1905.46</c:v>
                </c:pt>
                <c:pt idx="11" formatCode="_ * #,##0_ ;_ * \-#,##0_ ;_ * &quot;-&quot;??_ ;_ @_ ">
                  <c:v>1203.5981999999999</c:v>
                </c:pt>
              </c:numCache>
            </c:numRef>
          </c:val>
          <c:smooth val="0"/>
          <c:extLst xmlns:c16r2="http://schemas.microsoft.com/office/drawing/2015/06/chart">
            <c:ext xmlns:c16="http://schemas.microsoft.com/office/drawing/2014/chart" uri="{C3380CC4-5D6E-409C-BE32-E72D297353CC}">
              <c16:uniqueId val="{00000010-C177-4913-BEE1-9DF0C38D5B27}"/>
            </c:ext>
          </c:extLst>
        </c:ser>
        <c:dLbls>
          <c:showLegendKey val="0"/>
          <c:showVal val="0"/>
          <c:showCatName val="0"/>
          <c:showSerName val="0"/>
          <c:showPercent val="0"/>
          <c:showBubbleSize val="0"/>
        </c:dLbls>
        <c:marker val="1"/>
        <c:smooth val="0"/>
        <c:axId val="472658856"/>
        <c:axId val="472654936"/>
      </c:lineChart>
      <c:dateAx>
        <c:axId val="47265807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472654152"/>
        <c:crosses val="autoZero"/>
        <c:auto val="1"/>
        <c:lblOffset val="100"/>
        <c:baseTimeUnit val="months"/>
      </c:dateAx>
      <c:valAx>
        <c:axId val="472654152"/>
        <c:scaling>
          <c:orientation val="minMax"/>
          <c:max val="1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72658072"/>
        <c:crosses val="autoZero"/>
        <c:crossBetween val="between"/>
        <c:majorUnit val="100000"/>
      </c:valAx>
      <c:valAx>
        <c:axId val="472654936"/>
        <c:scaling>
          <c:orientation val="minMax"/>
          <c:max val="8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layout>
            <c:manualLayout>
              <c:xMode val="edge"/>
              <c:yMode val="edge"/>
              <c:x val="0.96802305074641692"/>
              <c:y val="0.31903100347750651"/>
            </c:manualLayout>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72658856"/>
        <c:crosses val="max"/>
        <c:crossBetween val="between"/>
        <c:majorUnit val="1000"/>
      </c:valAx>
      <c:dateAx>
        <c:axId val="472658856"/>
        <c:scaling>
          <c:orientation val="minMax"/>
        </c:scaling>
        <c:delete val="1"/>
        <c:axPos val="b"/>
        <c:numFmt formatCode="mmm\-yy" sourceLinked="1"/>
        <c:majorTickMark val="out"/>
        <c:minorTickMark val="none"/>
        <c:tickLblPos val="nextTo"/>
        <c:crossAx val="472654936"/>
        <c:crosses val="autoZero"/>
        <c:auto val="1"/>
        <c:lblOffset val="100"/>
        <c:baseTimeUnit val="months"/>
      </c:dateAx>
      <c:spPr>
        <a:noFill/>
        <a:ln>
          <a:noFill/>
        </a:ln>
        <a:effectLst/>
      </c:spPr>
    </c:plotArea>
    <c:legend>
      <c:legendPos val="b"/>
      <c:layout>
        <c:manualLayout>
          <c:xMode val="edge"/>
          <c:yMode val="edge"/>
          <c:x val="8.0264317358500328E-2"/>
          <c:y val="0.8957632859995065"/>
          <c:w val="0.84389858996332079"/>
          <c:h val="0.10423663334218054"/>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971364732008"/>
          <c:y val="3.4679126348644972E-2"/>
          <c:w val="0.72478428509096093"/>
          <c:h val="0.92951092445301509"/>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bg2">
                  <a:lumMod val="25000"/>
                </a:schemeClr>
              </a:solidFill>
              <a:ln>
                <a:solidFill>
                  <a:sysClr val="windowText" lastClr="000000"/>
                </a:solidFill>
              </a:ln>
              <a:effectLst/>
            </c:spPr>
            <c:extLst xmlns:c16r2="http://schemas.microsoft.com/office/drawing/2015/06/chart">
              <c:ext xmlns:c16="http://schemas.microsoft.com/office/drawing/2014/chart" uri="{C3380CC4-5D6E-409C-BE32-E72D297353CC}">
                <c16:uniqueId val="{00000001-C324-4826-A029-4DF468A0FBC2}"/>
              </c:ext>
            </c:extLst>
          </c:dPt>
          <c:dPt>
            <c:idx val="1"/>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03-C324-4826-A029-4DF468A0FBC2}"/>
              </c:ext>
            </c:extLst>
          </c:dPt>
          <c:dPt>
            <c:idx val="2"/>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05-C324-4826-A029-4DF468A0FBC2}"/>
              </c:ext>
            </c:extLst>
          </c:dPt>
          <c:dPt>
            <c:idx val="3"/>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07-C324-4826-A029-4DF468A0FBC2}"/>
              </c:ext>
            </c:extLst>
          </c:dPt>
          <c:dPt>
            <c:idx val="4"/>
            <c:invertIfNegative val="0"/>
            <c:bubble3D val="0"/>
            <c:spPr>
              <a:solidFill>
                <a:srgbClr val="0070C0"/>
              </a:solidFill>
              <a:ln>
                <a:solidFill>
                  <a:sysClr val="windowText" lastClr="000000"/>
                </a:solidFill>
              </a:ln>
              <a:effectLst/>
            </c:spPr>
            <c:extLst xmlns:c16r2="http://schemas.microsoft.com/office/drawing/2015/06/chart">
              <c:ext xmlns:c16="http://schemas.microsoft.com/office/drawing/2014/chart" uri="{C3380CC4-5D6E-409C-BE32-E72D297353CC}">
                <c16:uniqueId val="{00000009-C324-4826-A029-4DF468A0FBC2}"/>
              </c:ext>
            </c:extLst>
          </c:dPt>
          <c:dPt>
            <c:idx val="5"/>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0B-C324-4826-A029-4DF468A0FBC2}"/>
              </c:ext>
            </c:extLst>
          </c:dPt>
          <c:dPt>
            <c:idx val="6"/>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0D-C324-4826-A029-4DF468A0FBC2}"/>
              </c:ext>
            </c:extLst>
          </c:dPt>
          <c:dPt>
            <c:idx val="7"/>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0F-C324-4826-A029-4DF468A0FBC2}"/>
              </c:ext>
            </c:extLst>
          </c:dPt>
          <c:dPt>
            <c:idx val="8"/>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11-C324-4826-A029-4DF468A0FBC2}"/>
              </c:ext>
            </c:extLst>
          </c:dPt>
          <c:dPt>
            <c:idx val="9"/>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13-C324-4826-A029-4DF468A0FBC2}"/>
              </c:ext>
            </c:extLst>
          </c:dPt>
          <c:dPt>
            <c:idx val="10"/>
            <c:invertIfNegative val="0"/>
            <c:bubble3D val="0"/>
            <c:spPr>
              <a:solidFill>
                <a:srgbClr val="FF0000"/>
              </a:solidFill>
              <a:ln>
                <a:solidFill>
                  <a:sysClr val="windowText" lastClr="000000"/>
                </a:solidFill>
              </a:ln>
              <a:effectLst/>
            </c:spPr>
            <c:extLst xmlns:c16r2="http://schemas.microsoft.com/office/drawing/2015/06/chart">
              <c:ext xmlns:c16="http://schemas.microsoft.com/office/drawing/2014/chart" uri="{C3380CC4-5D6E-409C-BE32-E72D297353CC}">
                <c16:uniqueId val="{00000015-C324-4826-A029-4DF468A0FBC2}"/>
              </c:ext>
            </c:extLst>
          </c:dPt>
          <c:dPt>
            <c:idx val="14"/>
            <c:invertIfNegative val="0"/>
            <c:bubble3D val="0"/>
            <c:spPr>
              <a:solidFill>
                <a:schemeClr val="bg2">
                  <a:lumMod val="25000"/>
                </a:schemeClr>
              </a:solidFill>
              <a:ln>
                <a:solidFill>
                  <a:sysClr val="windowText" lastClr="000000"/>
                </a:solidFill>
              </a:ln>
              <a:effectLst/>
            </c:spPr>
            <c:extLst xmlns:c16r2="http://schemas.microsoft.com/office/drawing/2015/06/chart">
              <c:ext xmlns:c16="http://schemas.microsoft.com/office/drawing/2014/chart" uri="{C3380CC4-5D6E-409C-BE32-E72D297353CC}">
                <c16:uniqueId val="{00000017-C324-4826-A029-4DF468A0FBC2}"/>
              </c:ext>
            </c:extLst>
          </c:dPt>
          <c:dPt>
            <c:idx val="15"/>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19-C324-4826-A029-4DF468A0FBC2}"/>
              </c:ext>
            </c:extLst>
          </c:dPt>
          <c:dPt>
            <c:idx val="16"/>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1B-C324-4826-A029-4DF468A0FBC2}"/>
              </c:ext>
            </c:extLst>
          </c:dPt>
          <c:dPt>
            <c:idx val="17"/>
            <c:invertIfNegative val="0"/>
            <c:bubble3D val="0"/>
            <c:spPr>
              <a:solidFill>
                <a:schemeClr val="tx1"/>
              </a:solidFill>
              <a:ln>
                <a:solidFill>
                  <a:sysClr val="windowText" lastClr="000000"/>
                </a:solidFill>
              </a:ln>
              <a:effectLst/>
            </c:spPr>
            <c:extLst xmlns:c16r2="http://schemas.microsoft.com/office/drawing/2015/06/chart">
              <c:ext xmlns:c16="http://schemas.microsoft.com/office/drawing/2014/chart" uri="{C3380CC4-5D6E-409C-BE32-E72D297353CC}">
                <c16:uniqueId val="{0000001D-C324-4826-A029-4DF468A0FBC2}"/>
              </c:ext>
            </c:extLst>
          </c:dPt>
          <c:dPt>
            <c:idx val="18"/>
            <c:invertIfNegative val="0"/>
            <c:bubble3D val="0"/>
            <c:spPr>
              <a:solidFill>
                <a:srgbClr val="0070C0"/>
              </a:solidFill>
              <a:ln>
                <a:solidFill>
                  <a:sysClr val="windowText" lastClr="000000"/>
                </a:solidFill>
              </a:ln>
              <a:effectLst/>
            </c:spPr>
            <c:extLst xmlns:c16r2="http://schemas.microsoft.com/office/drawing/2015/06/chart">
              <c:ext xmlns:c16="http://schemas.microsoft.com/office/drawing/2014/chart" uri="{C3380CC4-5D6E-409C-BE32-E72D297353CC}">
                <c16:uniqueId val="{0000001F-C324-4826-A029-4DF468A0FBC2}"/>
              </c:ext>
            </c:extLst>
          </c:dPt>
          <c:dPt>
            <c:idx val="19"/>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21-C324-4826-A029-4DF468A0FBC2}"/>
              </c:ext>
            </c:extLst>
          </c:dPt>
          <c:dPt>
            <c:idx val="20"/>
            <c:invertIfNegative val="0"/>
            <c:bubble3D val="0"/>
            <c:spPr>
              <a:solidFill>
                <a:srgbClr val="FF0000"/>
              </a:solidFill>
              <a:ln>
                <a:solidFill>
                  <a:sysClr val="windowText" lastClr="000000"/>
                </a:solidFill>
              </a:ln>
              <a:effectLst/>
            </c:spPr>
            <c:extLst xmlns:c16r2="http://schemas.microsoft.com/office/drawing/2015/06/chart">
              <c:ext xmlns:c16="http://schemas.microsoft.com/office/drawing/2014/chart" uri="{C3380CC4-5D6E-409C-BE32-E72D297353CC}">
                <c16:uniqueId val="{00000023-C324-4826-A029-4DF468A0FBC2}"/>
              </c:ext>
            </c:extLst>
          </c:dPt>
          <c:dPt>
            <c:idx val="21"/>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25-C324-4826-A029-4DF468A0FBC2}"/>
              </c:ext>
            </c:extLst>
          </c:dPt>
          <c:dPt>
            <c:idx val="22"/>
            <c:invertIfNegative val="0"/>
            <c:bubble3D val="0"/>
            <c:spPr>
              <a:solidFill>
                <a:schemeClr val="bg2">
                  <a:lumMod val="25000"/>
                </a:schemeClr>
              </a:solidFill>
              <a:ln>
                <a:solidFill>
                  <a:sysClr val="windowText" lastClr="000000"/>
                </a:solidFill>
              </a:ln>
              <a:effectLst/>
            </c:spPr>
            <c:extLst xmlns:c16r2="http://schemas.microsoft.com/office/drawing/2015/06/chart">
              <c:ext xmlns:c16="http://schemas.microsoft.com/office/drawing/2014/chart" uri="{C3380CC4-5D6E-409C-BE32-E72D297353CC}">
                <c16:uniqueId val="{00000027-C324-4826-A029-4DF468A0FBC2}"/>
              </c:ext>
            </c:extLst>
          </c:dPt>
          <c:dPt>
            <c:idx val="23"/>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29-C324-4826-A029-4DF468A0FBC2}"/>
              </c:ext>
            </c:extLst>
          </c:dPt>
          <c:dPt>
            <c:idx val="24"/>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2B-C324-4826-A029-4DF468A0FBC2}"/>
              </c:ext>
            </c:extLst>
          </c:dPt>
          <c:dPt>
            <c:idx val="25"/>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2D-C324-4826-A029-4DF468A0FBC2}"/>
              </c:ext>
            </c:extLst>
          </c:dPt>
          <c:dPt>
            <c:idx val="26"/>
            <c:invertIfNegative val="0"/>
            <c:bubble3D val="0"/>
            <c:spPr>
              <a:solidFill>
                <a:srgbClr val="FFC000"/>
              </a:solidFill>
              <a:ln>
                <a:solidFill>
                  <a:sysClr val="windowText" lastClr="000000"/>
                </a:solidFill>
              </a:ln>
              <a:effectLst/>
            </c:spPr>
            <c:extLst xmlns:c16r2="http://schemas.microsoft.com/office/drawing/2015/06/chart">
              <c:ext xmlns:c16="http://schemas.microsoft.com/office/drawing/2014/chart" uri="{C3380CC4-5D6E-409C-BE32-E72D297353CC}">
                <c16:uniqueId val="{0000002F-C324-4826-A029-4DF468A0FBC2}"/>
              </c:ext>
            </c:extLst>
          </c:dPt>
          <c:dPt>
            <c:idx val="27"/>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31-C324-4826-A029-4DF468A0FBC2}"/>
              </c:ext>
            </c:extLst>
          </c:dPt>
          <c:dPt>
            <c:idx val="28"/>
            <c:invertIfNegative val="0"/>
            <c:bubble3D val="0"/>
            <c:spPr>
              <a:solidFill>
                <a:srgbClr val="FFC000"/>
              </a:solidFill>
              <a:ln>
                <a:solidFill>
                  <a:sysClr val="windowText" lastClr="000000"/>
                </a:solidFill>
              </a:ln>
              <a:effectLst/>
            </c:spPr>
            <c:extLst xmlns:c16r2="http://schemas.microsoft.com/office/drawing/2015/06/chart">
              <c:ext xmlns:c16="http://schemas.microsoft.com/office/drawing/2014/chart" uri="{C3380CC4-5D6E-409C-BE32-E72D297353CC}">
                <c16:uniqueId val="{00000033-C324-4826-A029-4DF468A0FBC2}"/>
              </c:ext>
            </c:extLst>
          </c:dPt>
          <c:dPt>
            <c:idx val="29"/>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35-C324-4826-A029-4DF468A0FBC2}"/>
              </c:ext>
            </c:extLst>
          </c:dPt>
          <c:dPt>
            <c:idx val="30"/>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37-C324-4826-A029-4DF468A0FBC2}"/>
              </c:ext>
            </c:extLst>
          </c:dPt>
          <c:dPt>
            <c:idx val="31"/>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39-C324-4826-A029-4DF468A0FBC2}"/>
              </c:ext>
            </c:extLst>
          </c:dPt>
          <c:dPt>
            <c:idx val="32"/>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3B-C324-4826-A029-4DF468A0FBC2}"/>
              </c:ext>
            </c:extLst>
          </c:dPt>
          <c:dPt>
            <c:idx val="33"/>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3D-C324-4826-A029-4DF468A0FBC2}"/>
              </c:ext>
            </c:extLst>
          </c:dPt>
          <c:dPt>
            <c:idx val="34"/>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3F-C324-4826-A029-4DF468A0FBC2}"/>
              </c:ext>
            </c:extLst>
          </c:dPt>
          <c:dPt>
            <c:idx val="35"/>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41-C324-4826-A029-4DF468A0FBC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 Domestic futures'!$A$186:$A$221</c:f>
              <c:strCache>
                <c:ptCount val="36"/>
                <c:pt idx="0">
                  <c:v>Nickel (MCX)</c:v>
                </c:pt>
                <c:pt idx="1">
                  <c:v>Chana (NCDEX)</c:v>
                </c:pt>
                <c:pt idx="2">
                  <c:v>Cardamom (MCX)</c:v>
                </c:pt>
                <c:pt idx="3">
                  <c:v>Barley  (NCDEX)</c:v>
                </c:pt>
                <c:pt idx="4">
                  <c:v>Diamond 0.3CT (ICEX)</c:v>
                </c:pt>
                <c:pt idx="5">
                  <c:v>Soybean (NCDEX)</c:v>
                </c:pt>
                <c:pt idx="6">
                  <c:v>Jeera  (NCDEX)</c:v>
                </c:pt>
                <c:pt idx="7">
                  <c:v>Refined Soy Oil (NCDEX)</c:v>
                </c:pt>
                <c:pt idx="8">
                  <c:v>Wheat (NCDEX)</c:v>
                </c:pt>
                <c:pt idx="9">
                  <c:v>RM seed (NCDEX) </c:v>
                </c:pt>
                <c:pt idx="10">
                  <c:v>Natural Gas (MCX)</c:v>
                </c:pt>
                <c:pt idx="11">
                  <c:v>Zinc (MCX)</c:v>
                </c:pt>
                <c:pt idx="12">
                  <c:v>Diamond 0.5CT (ICEX)</c:v>
                </c:pt>
                <c:pt idx="13">
                  <c:v>Lead (MCX)</c:v>
                </c:pt>
                <c:pt idx="14">
                  <c:v>Copper (MCX)</c:v>
                </c:pt>
                <c:pt idx="15">
                  <c:v>CPO (MCX)</c:v>
                </c:pt>
                <c:pt idx="16">
                  <c:v>Isabgool Seed (ICEX)</c:v>
                </c:pt>
                <c:pt idx="17">
                  <c:v>Steel Long (ICEX)</c:v>
                </c:pt>
                <c:pt idx="18">
                  <c:v>Diamond 1CT (ICEX)</c:v>
                </c:pt>
                <c:pt idx="19">
                  <c:v>Maize Rabi (NCDEX)</c:v>
                </c:pt>
                <c:pt idx="20">
                  <c:v>Crude Oil (MCX)</c:v>
                </c:pt>
                <c:pt idx="21">
                  <c:v>Mentha Oil (MCX)</c:v>
                </c:pt>
                <c:pt idx="22">
                  <c:v>Aluminium (MCX)</c:v>
                </c:pt>
                <c:pt idx="23">
                  <c:v>Cotton (MCX)</c:v>
                </c:pt>
                <c:pt idx="24">
                  <c:v>Moong (NCDEX)</c:v>
                </c:pt>
                <c:pt idx="25">
                  <c:v>Pepper (ICEX)</c:v>
                </c:pt>
                <c:pt idx="26">
                  <c:v>Gold (MCX)</c:v>
                </c:pt>
                <c:pt idx="27">
                  <c:v>Paddy  Basmatic (NCDEX)</c:v>
                </c:pt>
                <c:pt idx="28">
                  <c:v>Silver (MCX)</c:v>
                </c:pt>
                <c:pt idx="29">
                  <c:v>Coriander (NCDEX)</c:v>
                </c:pt>
                <c:pt idx="30">
                  <c:v>Guar seed (NCDEX)</c:v>
                </c:pt>
                <c:pt idx="31">
                  <c:v>Turmeric (NCDEX)</c:v>
                </c:pt>
                <c:pt idx="32">
                  <c:v>Rubber  (ICEX)</c:v>
                </c:pt>
                <c:pt idx="33">
                  <c:v>Guar Gum (NCDEX)</c:v>
                </c:pt>
                <c:pt idx="34">
                  <c:v>Castor Seed (NCDEX)</c:v>
                </c:pt>
                <c:pt idx="35">
                  <c:v>Cotton seed oil cake (NCDEX)</c:v>
                </c:pt>
              </c:strCache>
            </c:strRef>
          </c:cat>
          <c:val>
            <c:numRef>
              <c:f>'Graph - Domestic futures'!$B$186:$B$221</c:f>
              <c:numCache>
                <c:formatCode>0.0%</c:formatCode>
                <c:ptCount val="36"/>
                <c:pt idx="0">
                  <c:v>6.4413318795605093E-2</c:v>
                </c:pt>
                <c:pt idx="1">
                  <c:v>5.9760956175298807E-2</c:v>
                </c:pt>
                <c:pt idx="2">
                  <c:v>5.1364083813809559E-2</c:v>
                </c:pt>
                <c:pt idx="3">
                  <c:v>3.5694970254191452E-2</c:v>
                </c:pt>
                <c:pt idx="4">
                  <c:v>3.4904401956425052E-2</c:v>
                </c:pt>
                <c:pt idx="5">
                  <c:v>2.2745098039215685E-2</c:v>
                </c:pt>
                <c:pt idx="6">
                  <c:v>1.6281823564239194E-2</c:v>
                </c:pt>
                <c:pt idx="7">
                  <c:v>9.974238721183637E-3</c:v>
                </c:pt>
                <c:pt idx="8">
                  <c:v>9.2143549951503399E-3</c:v>
                </c:pt>
                <c:pt idx="9">
                  <c:v>8.1591024987251407E-3</c:v>
                </c:pt>
                <c:pt idx="10">
                  <c:v>4.2398546335555244E-3</c:v>
                </c:pt>
                <c:pt idx="11">
                  <c:v>3.5163646199621625E-3</c:v>
                </c:pt>
                <c:pt idx="12">
                  <c:v>3.1545741324921135E-3</c:v>
                </c:pt>
                <c:pt idx="13">
                  <c:v>-1.2594458438288227E-3</c:v>
                </c:pt>
                <c:pt idx="14">
                  <c:v>-2.7226318774815398E-3</c:v>
                </c:pt>
                <c:pt idx="15">
                  <c:v>-6.707759245830394E-3</c:v>
                </c:pt>
                <c:pt idx="16">
                  <c:v>-8.1212777476989718E-3</c:v>
                </c:pt>
                <c:pt idx="17">
                  <c:v>-1.2151536812008578E-2</c:v>
                </c:pt>
                <c:pt idx="18">
                  <c:v>-1.7053482743666224E-2</c:v>
                </c:pt>
                <c:pt idx="19">
                  <c:v>-1.7898118402937126E-2</c:v>
                </c:pt>
                <c:pt idx="20">
                  <c:v>-1.8218623481781375E-2</c:v>
                </c:pt>
                <c:pt idx="21">
                  <c:v>-1.9644723092998986E-2</c:v>
                </c:pt>
                <c:pt idx="22">
                  <c:v>-2.1989528795811557E-2</c:v>
                </c:pt>
                <c:pt idx="23">
                  <c:v>-2.7886497064579255E-2</c:v>
                </c:pt>
                <c:pt idx="24">
                  <c:v>-3.2496307237813882E-2</c:v>
                </c:pt>
                <c:pt idx="25">
                  <c:v>-3.6160517418785697E-2</c:v>
                </c:pt>
                <c:pt idx="26">
                  <c:v>-4.5090024834437088E-2</c:v>
                </c:pt>
                <c:pt idx="27">
                  <c:v>-4.692329305984827E-2</c:v>
                </c:pt>
                <c:pt idx="28">
                  <c:v>-5.611655470454837E-2</c:v>
                </c:pt>
                <c:pt idx="29">
                  <c:v>-6.6933733934234685E-2</c:v>
                </c:pt>
                <c:pt idx="30">
                  <c:v>-7.9285380663241478E-2</c:v>
                </c:pt>
                <c:pt idx="31">
                  <c:v>-9.1393078970718716E-2</c:v>
                </c:pt>
                <c:pt idx="32">
                  <c:v>-9.5831823124320412E-2</c:v>
                </c:pt>
                <c:pt idx="33">
                  <c:v>-0.10552103250478012</c:v>
                </c:pt>
                <c:pt idx="34">
                  <c:v>-0.14374999999999999</c:v>
                </c:pt>
                <c:pt idx="35">
                  <c:v>-0.34368275438057178</c:v>
                </c:pt>
              </c:numCache>
            </c:numRef>
          </c:val>
          <c:extLst xmlns:c16r2="http://schemas.microsoft.com/office/drawing/2015/06/chart">
            <c:ext xmlns:c16="http://schemas.microsoft.com/office/drawing/2014/chart" uri="{C3380CC4-5D6E-409C-BE32-E72D297353CC}">
              <c16:uniqueId val="{00000042-C324-4826-A029-4DF468A0FBC2}"/>
            </c:ext>
          </c:extLst>
        </c:ser>
        <c:dLbls>
          <c:showLegendKey val="0"/>
          <c:showVal val="0"/>
          <c:showCatName val="0"/>
          <c:showSerName val="0"/>
          <c:showPercent val="0"/>
          <c:showBubbleSize val="0"/>
        </c:dLbls>
        <c:gapWidth val="63"/>
        <c:overlap val="34"/>
        <c:axId val="472659248"/>
        <c:axId val="472657288"/>
      </c:barChart>
      <c:dateAx>
        <c:axId val="472659248"/>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472657288"/>
        <c:crosses val="autoZero"/>
        <c:auto val="0"/>
        <c:lblOffset val="100"/>
        <c:baseTimeUnit val="days"/>
      </c:dateAx>
      <c:valAx>
        <c:axId val="472657288"/>
        <c:scaling>
          <c:orientation val="minMax"/>
          <c:max val="0.15000000000000002"/>
          <c:min val="-0.4"/>
        </c:scaling>
        <c:delete val="0"/>
        <c:axPos val="t"/>
        <c:numFmt formatCode="0.0%" sourceLinked="0"/>
        <c:majorTickMark val="none"/>
        <c:minorTickMark val="none"/>
        <c:tickLblPos val="high"/>
        <c:spPr>
          <a:noFill/>
          <a:ln>
            <a:solidFill>
              <a:schemeClr val="bg1">
                <a:lumMod val="65000"/>
              </a:schemeClr>
            </a:solidFill>
          </a:ln>
          <a:effectLst/>
        </c:spPr>
        <c:txPr>
          <a:bodyPr rot="-60000000" spcFirstLastPara="1" vertOverflow="ellipsis" vert="horz" wrap="square" anchor="ctr" anchorCtr="1"/>
          <a:lstStyle/>
          <a:p>
            <a:pPr>
              <a:defRPr sz="10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472659248"/>
        <c:crossesAt val="1"/>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solidFill>
            <a:schemeClr val="tx1">
              <a:lumMod val="85000"/>
              <a:lumOff val="15000"/>
            </a:schemeClr>
          </a:solidFill>
          <a:latin typeface="Garamond" panose="02020404030301010803"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85402786190206E-2"/>
          <c:y val="3.9426523297491002E-2"/>
          <c:w val="0.89555049464970704"/>
          <c:h val="0.68902725127817566"/>
        </c:manualLayout>
      </c:layout>
      <c:lineChart>
        <c:grouping val="standard"/>
        <c:varyColors val="0"/>
        <c:ser>
          <c:idx val="0"/>
          <c:order val="0"/>
          <c:tx>
            <c:strRef>
              <c:f>Index_Charts!$B$1</c:f>
              <c:strCache>
                <c:ptCount val="1"/>
                <c:pt idx="0">
                  <c:v>Dow Jones Industrial Average</c:v>
                </c:pt>
              </c:strCache>
            </c:strRef>
          </c:tx>
          <c:spPr>
            <a:ln w="28575" cap="rnd">
              <a:solidFill>
                <a:schemeClr val="accent1"/>
              </a:solidFill>
              <a:round/>
            </a:ln>
            <a:effectLst/>
          </c:spPr>
          <c:marker>
            <c:symbol val="none"/>
          </c:marker>
          <c:cat>
            <c:numRef>
              <c:f>Index_Charts!$A$250:$A$444</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Index_Charts!$B$250:$B$444</c:f>
              <c:numCache>
                <c:formatCode>0.00</c:formatCode>
                <c:ptCount val="195"/>
                <c:pt idx="0">
                  <c:v>100</c:v>
                </c:pt>
                <c:pt idx="1">
                  <c:v>100.08050597879068</c:v>
                </c:pt>
                <c:pt idx="2">
                  <c:v>97.25113664325221</c:v>
                </c:pt>
                <c:pt idx="3">
                  <c:v>100.45311405528076</c:v>
                </c:pt>
                <c:pt idx="4">
                  <c:v>100.87403429263195</c:v>
                </c:pt>
                <c:pt idx="5">
                  <c:v>101.97188206517127</c:v>
                </c:pt>
                <c:pt idx="6">
                  <c:v>102.36485240999234</c:v>
                </c:pt>
                <c:pt idx="7">
                  <c:v>102.89127063126462</c:v>
                </c:pt>
                <c:pt idx="8">
                  <c:v>102.86567847506758</c:v>
                </c:pt>
                <c:pt idx="9">
                  <c:v>102.49654270117708</c:v>
                </c:pt>
                <c:pt idx="10">
                  <c:v>103.16421076276629</c:v>
                </c:pt>
                <c:pt idx="11">
                  <c:v>103.77109209489591</c:v>
                </c:pt>
                <c:pt idx="12">
                  <c:v>104.46958220054819</c:v>
                </c:pt>
                <c:pt idx="13">
                  <c:v>105.91101645871433</c:v>
                </c:pt>
                <c:pt idx="14">
                  <c:v>105.91101645871433</c:v>
                </c:pt>
                <c:pt idx="15">
                  <c:v>104.61696215533109</c:v>
                </c:pt>
                <c:pt idx="16">
                  <c:v>105.35060396631266</c:v>
                </c:pt>
                <c:pt idx="17">
                  <c:v>105.25466553152381</c:v>
                </c:pt>
                <c:pt idx="18">
                  <c:v>106.04326403303233</c:v>
                </c:pt>
                <c:pt idx="19">
                  <c:v>105.14740996233624</c:v>
                </c:pt>
                <c:pt idx="20">
                  <c:v>105.36920864937717</c:v>
                </c:pt>
                <c:pt idx="21">
                  <c:v>107.23353506982758</c:v>
                </c:pt>
                <c:pt idx="22">
                  <c:v>107.16841867910179</c:v>
                </c:pt>
                <c:pt idx="23">
                  <c:v>107.44371654693654</c:v>
                </c:pt>
                <c:pt idx="24">
                  <c:v>108.1959630409826</c:v>
                </c:pt>
                <c:pt idx="25">
                  <c:v>108.93393451323034</c:v>
                </c:pt>
                <c:pt idx="26">
                  <c:v>108.84296875870756</c:v>
                </c:pt>
                <c:pt idx="27">
                  <c:v>107.89657339461733</c:v>
                </c:pt>
                <c:pt idx="28">
                  <c:v>107.6256480559821</c:v>
                </c:pt>
                <c:pt idx="29">
                  <c:v>107.39750491480858</c:v>
                </c:pt>
                <c:pt idx="30">
                  <c:v>108.99497845028992</c:v>
                </c:pt>
                <c:pt idx="31">
                  <c:v>109.49871953483148</c:v>
                </c:pt>
                <c:pt idx="32">
                  <c:v>109.05340744341648</c:v>
                </c:pt>
                <c:pt idx="33">
                  <c:v>110.95614353212908</c:v>
                </c:pt>
                <c:pt idx="34">
                  <c:v>110.95614353212908</c:v>
                </c:pt>
                <c:pt idx="35">
                  <c:v>110.99073795432508</c:v>
                </c:pt>
                <c:pt idx="36">
                  <c:v>111.26132034949367</c:v>
                </c:pt>
                <c:pt idx="37">
                  <c:v>110.81630833361199</c:v>
                </c:pt>
                <c:pt idx="38">
                  <c:v>111.59298954965521</c:v>
                </c:pt>
                <c:pt idx="39">
                  <c:v>111.85079730069198</c:v>
                </c:pt>
                <c:pt idx="40">
                  <c:v>111.70517493117553</c:v>
                </c:pt>
                <c:pt idx="41">
                  <c:v>111.39301064067841</c:v>
                </c:pt>
                <c:pt idx="42">
                  <c:v>111.09653601377947</c:v>
                </c:pt>
                <c:pt idx="43">
                  <c:v>111.56945505425794</c:v>
                </c:pt>
                <c:pt idx="44">
                  <c:v>110.68350347616072</c:v>
                </c:pt>
                <c:pt idx="45">
                  <c:v>110.62768942696719</c:v>
                </c:pt>
                <c:pt idx="46">
                  <c:v>110.05681715883343</c:v>
                </c:pt>
                <c:pt idx="47">
                  <c:v>109.19847252979964</c:v>
                </c:pt>
                <c:pt idx="48">
                  <c:v>109.09991915107776</c:v>
                </c:pt>
                <c:pt idx="49">
                  <c:v>109.96002136537797</c:v>
                </c:pt>
                <c:pt idx="50">
                  <c:v>109.54754611089248</c:v>
                </c:pt>
                <c:pt idx="51">
                  <c:v>110.18297748661878</c:v>
                </c:pt>
                <c:pt idx="52">
                  <c:v>110.21319937961526</c:v>
                </c:pt>
                <c:pt idx="53">
                  <c:v>110.8087635773462</c:v>
                </c:pt>
                <c:pt idx="54">
                  <c:v>111.08839110644708</c:v>
                </c:pt>
                <c:pt idx="55">
                  <c:v>110.9738479885937</c:v>
                </c:pt>
                <c:pt idx="56">
                  <c:v>110.36636650539751</c:v>
                </c:pt>
                <c:pt idx="57">
                  <c:v>111.29591477168968</c:v>
                </c:pt>
                <c:pt idx="58">
                  <c:v>109.32317534785186</c:v>
                </c:pt>
                <c:pt idx="59">
                  <c:v>109.38537671911131</c:v>
                </c:pt>
                <c:pt idx="60">
                  <c:v>109.9893858997079</c:v>
                </c:pt>
                <c:pt idx="61">
                  <c:v>109.85160836199054</c:v>
                </c:pt>
                <c:pt idx="62">
                  <c:v>110.24543606547819</c:v>
                </c:pt>
                <c:pt idx="63">
                  <c:v>111.15089255323984</c:v>
                </c:pt>
                <c:pt idx="64">
                  <c:v>112.5644197868092</c:v>
                </c:pt>
                <c:pt idx="65">
                  <c:v>112.22451994344864</c:v>
                </c:pt>
                <c:pt idx="66">
                  <c:v>112.39170488342924</c:v>
                </c:pt>
                <c:pt idx="67">
                  <c:v>113.10545597334645</c:v>
                </c:pt>
                <c:pt idx="68">
                  <c:v>113.27847095225971</c:v>
                </c:pt>
                <c:pt idx="69">
                  <c:v>112.91850891610147</c:v>
                </c:pt>
                <c:pt idx="70">
                  <c:v>112.10213199379618</c:v>
                </c:pt>
                <c:pt idx="71">
                  <c:v>112.13033909392622</c:v>
                </c:pt>
                <c:pt idx="72">
                  <c:v>112.06985243999989</c:v>
                </c:pt>
                <c:pt idx="73">
                  <c:v>113.22407154486601</c:v>
                </c:pt>
                <c:pt idx="74">
                  <c:v>113.10605612441304</c:v>
                </c:pt>
                <c:pt idx="75">
                  <c:v>113.39708652377927</c:v>
                </c:pt>
                <c:pt idx="76">
                  <c:v>113.38371172858083</c:v>
                </c:pt>
                <c:pt idx="77">
                  <c:v>113.8552589951928</c:v>
                </c:pt>
                <c:pt idx="78">
                  <c:v>113.8552589951928</c:v>
                </c:pt>
                <c:pt idx="79">
                  <c:v>113.64739238648357</c:v>
                </c:pt>
                <c:pt idx="80">
                  <c:v>114.27043492947797</c:v>
                </c:pt>
                <c:pt idx="81">
                  <c:v>114.01605661310748</c:v>
                </c:pt>
                <c:pt idx="82">
                  <c:v>113.4374681169746</c:v>
                </c:pt>
                <c:pt idx="83">
                  <c:v>113.78577007526754</c:v>
                </c:pt>
                <c:pt idx="84">
                  <c:v>113.83318200952868</c:v>
                </c:pt>
                <c:pt idx="85">
                  <c:v>113.99830928870954</c:v>
                </c:pt>
                <c:pt idx="86">
                  <c:v>113.30054793792381</c:v>
                </c:pt>
                <c:pt idx="87">
                  <c:v>112.77605877365131</c:v>
                </c:pt>
                <c:pt idx="88">
                  <c:v>113.62124294715328</c:v>
                </c:pt>
                <c:pt idx="89">
                  <c:v>113.33629979431964</c:v>
                </c:pt>
                <c:pt idx="90">
                  <c:v>111.3069746984884</c:v>
                </c:pt>
                <c:pt idx="91">
                  <c:v>111.31657711555395</c:v>
                </c:pt>
                <c:pt idx="92">
                  <c:v>110.72084144608971</c:v>
                </c:pt>
                <c:pt idx="93">
                  <c:v>111.20957875396635</c:v>
                </c:pt>
                <c:pt idx="94">
                  <c:v>108.56299828614004</c:v>
                </c:pt>
                <c:pt idx="95">
                  <c:v>109.45062171363706</c:v>
                </c:pt>
                <c:pt idx="96">
                  <c:v>109.94776113644606</c:v>
                </c:pt>
                <c:pt idx="97">
                  <c:v>110.86796419327266</c:v>
                </c:pt>
                <c:pt idx="98">
                  <c:v>110.44494342718838</c:v>
                </c:pt>
                <c:pt idx="99">
                  <c:v>110.08442410789689</c:v>
                </c:pt>
                <c:pt idx="100">
                  <c:v>110.9307657155987</c:v>
                </c:pt>
                <c:pt idx="101">
                  <c:v>110.49899989111545</c:v>
                </c:pt>
                <c:pt idx="102">
                  <c:v>109.27237684685775</c:v>
                </c:pt>
                <c:pt idx="103">
                  <c:v>109.68056530801039</c:v>
                </c:pt>
                <c:pt idx="104">
                  <c:v>109.68056530801039</c:v>
                </c:pt>
                <c:pt idx="105">
                  <c:v>108.66065143826205</c:v>
                </c:pt>
                <c:pt idx="106">
                  <c:v>107.71172686610544</c:v>
                </c:pt>
                <c:pt idx="107">
                  <c:v>107.89807377228384</c:v>
                </c:pt>
                <c:pt idx="108">
                  <c:v>106.37694802606028</c:v>
                </c:pt>
                <c:pt idx="109">
                  <c:v>106.39726742645792</c:v>
                </c:pt>
                <c:pt idx="110">
                  <c:v>108.59382033020313</c:v>
                </c:pt>
                <c:pt idx="111">
                  <c:v>109.48285839949999</c:v>
                </c:pt>
                <c:pt idx="112">
                  <c:v>110.25915380414328</c:v>
                </c:pt>
                <c:pt idx="113">
                  <c:v>111.38778075281235</c:v>
                </c:pt>
                <c:pt idx="114">
                  <c:v>111.72532285983988</c:v>
                </c:pt>
                <c:pt idx="115">
                  <c:v>111.66457899831357</c:v>
                </c:pt>
                <c:pt idx="116">
                  <c:v>111.47733186553531</c:v>
                </c:pt>
                <c:pt idx="117">
                  <c:v>111.91432757788462</c:v>
                </c:pt>
                <c:pt idx="118">
                  <c:v>111.84076620429315</c:v>
                </c:pt>
                <c:pt idx="119">
                  <c:v>111.93901950748173</c:v>
                </c:pt>
                <c:pt idx="120">
                  <c:v>113.45230042190622</c:v>
                </c:pt>
                <c:pt idx="121">
                  <c:v>113.61717049348708</c:v>
                </c:pt>
                <c:pt idx="122">
                  <c:v>114.68531078822983</c:v>
                </c:pt>
                <c:pt idx="123">
                  <c:v>114.53938834318012</c:v>
                </c:pt>
                <c:pt idx="124">
                  <c:v>114.57544027510926</c:v>
                </c:pt>
                <c:pt idx="125">
                  <c:v>113.80673249466508</c:v>
                </c:pt>
                <c:pt idx="126">
                  <c:v>113.75786305067075</c:v>
                </c:pt>
                <c:pt idx="127">
                  <c:v>113.71396628694252</c:v>
                </c:pt>
                <c:pt idx="128">
                  <c:v>114.02853118170601</c:v>
                </c:pt>
                <c:pt idx="129">
                  <c:v>114.53210079451428</c:v>
                </c:pt>
                <c:pt idx="130">
                  <c:v>114.82896123281319</c:v>
                </c:pt>
                <c:pt idx="131">
                  <c:v>115.59766901325735</c:v>
                </c:pt>
                <c:pt idx="132">
                  <c:v>115.59766901325735</c:v>
                </c:pt>
                <c:pt idx="133">
                  <c:v>115.40956452181248</c:v>
                </c:pt>
                <c:pt idx="134">
                  <c:v>114.91238223107017</c:v>
                </c:pt>
                <c:pt idx="135">
                  <c:v>114.81528636208145</c:v>
                </c:pt>
                <c:pt idx="136">
                  <c:v>115.1441262786433</c:v>
                </c:pt>
                <c:pt idx="137">
                  <c:v>116.12100074332999</c:v>
                </c:pt>
                <c:pt idx="138">
                  <c:v>117.16676397687533</c:v>
                </c:pt>
                <c:pt idx="139">
                  <c:v>117.28306467999516</c:v>
                </c:pt>
                <c:pt idx="140">
                  <c:v>117.18219643287352</c:v>
                </c:pt>
                <c:pt idx="141">
                  <c:v>116.68587150079776</c:v>
                </c:pt>
                <c:pt idx="142">
                  <c:v>116.69924629599623</c:v>
                </c:pt>
                <c:pt idx="143">
                  <c:v>116.4044435184971</c:v>
                </c:pt>
                <c:pt idx="144">
                  <c:v>116.4803197604883</c:v>
                </c:pt>
                <c:pt idx="145">
                  <c:v>117.24032535046678</c:v>
                </c:pt>
                <c:pt idx="146">
                  <c:v>116.90072558263952</c:v>
                </c:pt>
                <c:pt idx="147">
                  <c:v>116.34777211063701</c:v>
                </c:pt>
                <c:pt idx="148">
                  <c:v>116.56841336347807</c:v>
                </c:pt>
                <c:pt idx="149">
                  <c:v>116.69230169079702</c:v>
                </c:pt>
                <c:pt idx="150">
                  <c:v>116.59229080234196</c:v>
                </c:pt>
                <c:pt idx="151">
                  <c:v>115.16157352750793</c:v>
                </c:pt>
                <c:pt idx="152">
                  <c:v>113.95762761998091</c:v>
                </c:pt>
                <c:pt idx="153">
                  <c:v>113.5357642880965</c:v>
                </c:pt>
                <c:pt idx="154">
                  <c:v>110.2466363676114</c:v>
                </c:pt>
                <c:pt idx="155">
                  <c:v>111.58317279292302</c:v>
                </c:pt>
                <c:pt idx="156">
                  <c:v>111.48693428260086</c:v>
                </c:pt>
                <c:pt idx="157">
                  <c:v>113.07784902428297</c:v>
                </c:pt>
                <c:pt idx="158">
                  <c:v>112.68882252932811</c:v>
                </c:pt>
                <c:pt idx="159">
                  <c:v>111.05954098731709</c:v>
                </c:pt>
                <c:pt idx="160">
                  <c:v>112.65654297553185</c:v>
                </c:pt>
                <c:pt idx="161">
                  <c:v>109.22500778052991</c:v>
                </c:pt>
                <c:pt idx="162">
                  <c:v>109.65355851001353</c:v>
                </c:pt>
                <c:pt idx="163">
                  <c:v>110.96797508172772</c:v>
                </c:pt>
                <c:pt idx="164">
                  <c:v>112.03873032040352</c:v>
                </c:pt>
                <c:pt idx="165">
                  <c:v>111.29561469615636</c:v>
                </c:pt>
                <c:pt idx="166">
                  <c:v>112.32568826610357</c:v>
                </c:pt>
                <c:pt idx="167">
                  <c:v>112.53792740401227</c:v>
                </c:pt>
                <c:pt idx="168">
                  <c:v>109.86579764792224</c:v>
                </c:pt>
                <c:pt idx="169">
                  <c:v>111.02293177225468</c:v>
                </c:pt>
                <c:pt idx="170">
                  <c:v>110.50452985451483</c:v>
                </c:pt>
                <c:pt idx="171">
                  <c:v>111.61137989305307</c:v>
                </c:pt>
                <c:pt idx="172">
                  <c:v>113.00951753855757</c:v>
                </c:pt>
                <c:pt idx="173">
                  <c:v>113.18540466900382</c:v>
                </c:pt>
                <c:pt idx="174">
                  <c:v>113.18540466900382</c:v>
                </c:pt>
                <c:pt idx="175">
                  <c:v>111.96255400287902</c:v>
                </c:pt>
                <c:pt idx="176">
                  <c:v>112.98045307976095</c:v>
                </c:pt>
                <c:pt idx="177">
                  <c:v>114.5780552190423</c:v>
                </c:pt>
                <c:pt idx="178">
                  <c:v>114.87517286494115</c:v>
                </c:pt>
                <c:pt idx="179">
                  <c:v>115.03828535125555</c:v>
                </c:pt>
                <c:pt idx="180">
                  <c:v>115.35516511441881</c:v>
                </c:pt>
                <c:pt idx="181">
                  <c:v>116.33088214490563</c:v>
                </c:pt>
                <c:pt idx="182">
                  <c:v>116.52554543014971</c:v>
                </c:pt>
                <c:pt idx="183">
                  <c:v>116.68445685899795</c:v>
                </c:pt>
                <c:pt idx="184">
                  <c:v>116.07273145040222</c:v>
                </c:pt>
                <c:pt idx="185">
                  <c:v>116.21839668785201</c:v>
                </c:pt>
                <c:pt idx="186">
                  <c:v>116.37392154996731</c:v>
                </c:pt>
                <c:pt idx="187">
                  <c:v>116.14976512659329</c:v>
                </c:pt>
                <c:pt idx="188">
                  <c:v>115.46507849547271</c:v>
                </c:pt>
                <c:pt idx="189">
                  <c:v>115.52903745199865</c:v>
                </c:pt>
                <c:pt idx="190">
                  <c:v>114.91936970420269</c:v>
                </c:pt>
                <c:pt idx="191">
                  <c:v>115.61785980985499</c:v>
                </c:pt>
                <c:pt idx="192">
                  <c:v>115.27667392849456</c:v>
                </c:pt>
                <c:pt idx="193">
                  <c:v>114.97286888499649</c:v>
                </c:pt>
                <c:pt idx="194">
                  <c:v>115.38688738508181</c:v>
                </c:pt>
              </c:numCache>
            </c:numRef>
          </c:val>
          <c:smooth val="0"/>
        </c:ser>
        <c:ser>
          <c:idx val="1"/>
          <c:order val="1"/>
          <c:tx>
            <c:strRef>
              <c:f>Index_Charts!$C$1</c:f>
              <c:strCache>
                <c:ptCount val="1"/>
                <c:pt idx="0">
                  <c:v>NASDAQ Composite</c:v>
                </c:pt>
              </c:strCache>
            </c:strRef>
          </c:tx>
          <c:spPr>
            <a:ln w="28575" cap="rnd">
              <a:solidFill>
                <a:schemeClr val="accent2"/>
              </a:solidFill>
              <a:round/>
            </a:ln>
            <a:effectLst/>
          </c:spPr>
          <c:marker>
            <c:symbol val="none"/>
          </c:marker>
          <c:cat>
            <c:numRef>
              <c:f>Index_Charts!$A$250:$A$444</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Index_Charts!$C$250:$C$444</c:f>
              <c:numCache>
                <c:formatCode>0.00</c:formatCode>
                <c:ptCount val="195"/>
                <c:pt idx="0">
                  <c:v>100</c:v>
                </c:pt>
                <c:pt idx="1">
                  <c:v>100.46209073110286</c:v>
                </c:pt>
                <c:pt idx="2">
                  <c:v>97.411215839218173</c:v>
                </c:pt>
                <c:pt idx="3">
                  <c:v>101.56105012646796</c:v>
                </c:pt>
                <c:pt idx="4">
                  <c:v>102.83626440915729</c:v>
                </c:pt>
                <c:pt idx="5">
                  <c:v>103.94440201968959</c:v>
                </c:pt>
                <c:pt idx="6">
                  <c:v>104.84983520657842</c:v>
                </c:pt>
                <c:pt idx="7">
                  <c:v>105.28675743303558</c:v>
                </c:pt>
                <c:pt idx="8">
                  <c:v>105.06684197208345</c:v>
                </c:pt>
                <c:pt idx="9">
                  <c:v>104.07878977772896</c:v>
                </c:pt>
                <c:pt idx="10">
                  <c:v>105.85592734108916</c:v>
                </c:pt>
                <c:pt idx="11">
                  <c:v>106.01958290512965</c:v>
                </c:pt>
                <c:pt idx="12">
                  <c:v>106.76966462741495</c:v>
                </c:pt>
                <c:pt idx="13">
                  <c:v>107.86630309480674</c:v>
                </c:pt>
                <c:pt idx="14">
                  <c:v>107.86630309480674</c:v>
                </c:pt>
                <c:pt idx="15">
                  <c:v>105.80351053919827</c:v>
                </c:pt>
                <c:pt idx="16">
                  <c:v>105.88507457940339</c:v>
                </c:pt>
                <c:pt idx="17">
                  <c:v>106.60385391597065</c:v>
                </c:pt>
                <c:pt idx="18">
                  <c:v>107.98138495197713</c:v>
                </c:pt>
                <c:pt idx="19">
                  <c:v>106.78808134159283</c:v>
                </c:pt>
                <c:pt idx="20">
                  <c:v>105.92309861366753</c:v>
                </c:pt>
                <c:pt idx="21">
                  <c:v>108.25591757510651</c:v>
                </c:pt>
                <c:pt idx="22">
                  <c:v>109.74277336123271</c:v>
                </c:pt>
                <c:pt idx="23">
                  <c:v>109.47347036152372</c:v>
                </c:pt>
                <c:pt idx="24">
                  <c:v>110.7344275152341</c:v>
                </c:pt>
                <c:pt idx="25">
                  <c:v>111.55651828853566</c:v>
                </c:pt>
                <c:pt idx="26">
                  <c:v>111.15257132445262</c:v>
                </c:pt>
                <c:pt idx="27">
                  <c:v>109.84246776735922</c:v>
                </c:pt>
                <c:pt idx="28">
                  <c:v>109.99085644804279</c:v>
                </c:pt>
                <c:pt idx="29">
                  <c:v>110.13715026516601</c:v>
                </c:pt>
                <c:pt idx="30">
                  <c:v>111.74543278298705</c:v>
                </c:pt>
                <c:pt idx="31">
                  <c:v>111.83222644661255</c:v>
                </c:pt>
                <c:pt idx="32">
                  <c:v>111.93134815622618</c:v>
                </c:pt>
                <c:pt idx="33">
                  <c:v>112.61639868237603</c:v>
                </c:pt>
                <c:pt idx="34">
                  <c:v>112.61639868237603</c:v>
                </c:pt>
                <c:pt idx="35">
                  <c:v>112.83275739656385</c:v>
                </c:pt>
                <c:pt idx="36">
                  <c:v>112.86746581943754</c:v>
                </c:pt>
                <c:pt idx="37">
                  <c:v>112.42496733746006</c:v>
                </c:pt>
                <c:pt idx="38">
                  <c:v>113.44733610970574</c:v>
                </c:pt>
                <c:pt idx="39">
                  <c:v>113.85297102140575</c:v>
                </c:pt>
                <c:pt idx="40">
                  <c:v>113.77517472141705</c:v>
                </c:pt>
                <c:pt idx="41">
                  <c:v>113.85370949848817</c:v>
                </c:pt>
                <c:pt idx="42">
                  <c:v>113.52249499154293</c:v>
                </c:pt>
                <c:pt idx="43">
                  <c:v>114.46928289504719</c:v>
                </c:pt>
                <c:pt idx="44">
                  <c:v>114.20121571412921</c:v>
                </c:pt>
                <c:pt idx="45">
                  <c:v>114.18304013532517</c:v>
                </c:pt>
                <c:pt idx="46">
                  <c:v>113.12142658098523</c:v>
                </c:pt>
                <c:pt idx="47">
                  <c:v>111.84859351011269</c:v>
                </c:pt>
                <c:pt idx="48">
                  <c:v>111.64781816946</c:v>
                </c:pt>
                <c:pt idx="49">
                  <c:v>113.90727169340482</c:v>
                </c:pt>
                <c:pt idx="50">
                  <c:v>114.4041311312248</c:v>
                </c:pt>
                <c:pt idx="51">
                  <c:v>115.19345763560436</c:v>
                </c:pt>
                <c:pt idx="52">
                  <c:v>115.00514597958758</c:v>
                </c:pt>
                <c:pt idx="53">
                  <c:v>115.87348953178594</c:v>
                </c:pt>
                <c:pt idx="54">
                  <c:v>116.2645960372114</c:v>
                </c:pt>
                <c:pt idx="55">
                  <c:v>116.40728789468776</c:v>
                </c:pt>
                <c:pt idx="56">
                  <c:v>116.48297426015522</c:v>
                </c:pt>
                <c:pt idx="57">
                  <c:v>118.14064431673313</c:v>
                </c:pt>
                <c:pt idx="58">
                  <c:v>115.1823352664855</c:v>
                </c:pt>
                <c:pt idx="59">
                  <c:v>115.10508152108795</c:v>
                </c:pt>
                <c:pt idx="60">
                  <c:v>115.91862705957867</c:v>
                </c:pt>
                <c:pt idx="61">
                  <c:v>115.19303564870013</c:v>
                </c:pt>
                <c:pt idx="62">
                  <c:v>115.58170065846537</c:v>
                </c:pt>
                <c:pt idx="63">
                  <c:v>116.48829430934083</c:v>
                </c:pt>
                <c:pt idx="64">
                  <c:v>117.98919623099383</c:v>
                </c:pt>
                <c:pt idx="65">
                  <c:v>118.28728476595627</c:v>
                </c:pt>
                <c:pt idx="66">
                  <c:v>118.99357027596587</c:v>
                </c:pt>
                <c:pt idx="67">
                  <c:v>118.93676782446309</c:v>
                </c:pt>
                <c:pt idx="68">
                  <c:v>119.64371645675078</c:v>
                </c:pt>
                <c:pt idx="69">
                  <c:v>119.87267449422232</c:v>
                </c:pt>
                <c:pt idx="70">
                  <c:v>119.20040414288657</c:v>
                </c:pt>
                <c:pt idx="71">
                  <c:v>120.02880964879084</c:v>
                </c:pt>
                <c:pt idx="72">
                  <c:v>119.77433647457372</c:v>
                </c:pt>
                <c:pt idx="73">
                  <c:v>120.32902318923536</c:v>
                </c:pt>
                <c:pt idx="74">
                  <c:v>120.20616471625827</c:v>
                </c:pt>
                <c:pt idx="75">
                  <c:v>120.57107789169919</c:v>
                </c:pt>
                <c:pt idx="76">
                  <c:v>120.5086087589109</c:v>
                </c:pt>
                <c:pt idx="77">
                  <c:v>120.53846433238581</c:v>
                </c:pt>
                <c:pt idx="78">
                  <c:v>120.53846433238581</c:v>
                </c:pt>
                <c:pt idx="79">
                  <c:v>120.79776021407997</c:v>
                </c:pt>
                <c:pt idx="80">
                  <c:v>122.38859055921856</c:v>
                </c:pt>
                <c:pt idx="81">
                  <c:v>122.10515099821757</c:v>
                </c:pt>
                <c:pt idx="82">
                  <c:v>122.35633870296599</c:v>
                </c:pt>
                <c:pt idx="83">
                  <c:v>122.77404545431938</c:v>
                </c:pt>
                <c:pt idx="84">
                  <c:v>123.00698222545947</c:v>
                </c:pt>
                <c:pt idx="85">
                  <c:v>122.00527574056063</c:v>
                </c:pt>
                <c:pt idx="86">
                  <c:v>121.31580942287714</c:v>
                </c:pt>
                <c:pt idx="87">
                  <c:v>121.12187629845748</c:v>
                </c:pt>
                <c:pt idx="88">
                  <c:v>123.03926422363377</c:v>
                </c:pt>
                <c:pt idx="89">
                  <c:v>122.4257706196742</c:v>
                </c:pt>
                <c:pt idx="90">
                  <c:v>120.02145501988839</c:v>
                </c:pt>
                <c:pt idx="91">
                  <c:v>119.71344979267633</c:v>
                </c:pt>
                <c:pt idx="92">
                  <c:v>119.22014710162063</c:v>
                </c:pt>
                <c:pt idx="93">
                  <c:v>119.31589291600034</c:v>
                </c:pt>
                <c:pt idx="94">
                  <c:v>115.2479994429773</c:v>
                </c:pt>
                <c:pt idx="95">
                  <c:v>116.56625638989901</c:v>
                </c:pt>
                <c:pt idx="96">
                  <c:v>117.88727132265917</c:v>
                </c:pt>
                <c:pt idx="97">
                  <c:v>119.03112711044317</c:v>
                </c:pt>
                <c:pt idx="98">
                  <c:v>117.79892535006451</c:v>
                </c:pt>
                <c:pt idx="99">
                  <c:v>116.08219219785398</c:v>
                </c:pt>
                <c:pt idx="100">
                  <c:v>117.33834171504822</c:v>
                </c:pt>
                <c:pt idx="101">
                  <c:v>116.81263645813129</c:v>
                </c:pt>
                <c:pt idx="102">
                  <c:v>114.96556963635429</c:v>
                </c:pt>
                <c:pt idx="103">
                  <c:v>115.09706376990742</c:v>
                </c:pt>
                <c:pt idx="104">
                  <c:v>115.09706376990742</c:v>
                </c:pt>
                <c:pt idx="105">
                  <c:v>114.65008921255284</c:v>
                </c:pt>
                <c:pt idx="106">
                  <c:v>113.74521365121608</c:v>
                </c:pt>
                <c:pt idx="107">
                  <c:v>114.0527516786413</c:v>
                </c:pt>
                <c:pt idx="108">
                  <c:v>112.32610183418115</c:v>
                </c:pt>
                <c:pt idx="109">
                  <c:v>110.51564237634692</c:v>
                </c:pt>
                <c:pt idx="110">
                  <c:v>113.44088573845524</c:v>
                </c:pt>
                <c:pt idx="111">
                  <c:v>114.16968726399818</c:v>
                </c:pt>
                <c:pt idx="112">
                  <c:v>114.77370123357322</c:v>
                </c:pt>
                <c:pt idx="113">
                  <c:v>116.68090118920431</c:v>
                </c:pt>
                <c:pt idx="114">
                  <c:v>117.90267384466391</c:v>
                </c:pt>
                <c:pt idx="115">
                  <c:v>117.89358605526191</c:v>
                </c:pt>
                <c:pt idx="116">
                  <c:v>117.4437630863037</c:v>
                </c:pt>
                <c:pt idx="117">
                  <c:v>118.11307952930979</c:v>
                </c:pt>
                <c:pt idx="118">
                  <c:v>117.50314267211451</c:v>
                </c:pt>
                <c:pt idx="119">
                  <c:v>118.23204969438352</c:v>
                </c:pt>
                <c:pt idx="120">
                  <c:v>119.87265942326147</c:v>
                </c:pt>
                <c:pt idx="121">
                  <c:v>120.37663235461007</c:v>
                </c:pt>
                <c:pt idx="122">
                  <c:v>121.34143005634881</c:v>
                </c:pt>
                <c:pt idx="123">
                  <c:v>121.04554188167276</c:v>
                </c:pt>
                <c:pt idx="124">
                  <c:v>120.65353111859535</c:v>
                </c:pt>
                <c:pt idx="125">
                  <c:v>118.83026134402527</c:v>
                </c:pt>
                <c:pt idx="126">
                  <c:v>119.21086338972735</c:v>
                </c:pt>
                <c:pt idx="127">
                  <c:v>120.08176900527288</c:v>
                </c:pt>
                <c:pt idx="128">
                  <c:v>120.66179000514974</c:v>
                </c:pt>
                <c:pt idx="129">
                  <c:v>121.94160093090309</c:v>
                </c:pt>
                <c:pt idx="130">
                  <c:v>122.21180818826403</c:v>
                </c:pt>
                <c:pt idx="131">
                  <c:v>123.13323166463132</c:v>
                </c:pt>
                <c:pt idx="132">
                  <c:v>123.13323166463132</c:v>
                </c:pt>
                <c:pt idx="133">
                  <c:v>123.00603275492492</c:v>
                </c:pt>
                <c:pt idx="134">
                  <c:v>122.0503981973925</c:v>
                </c:pt>
                <c:pt idx="135">
                  <c:v>122.70366406707663</c:v>
                </c:pt>
                <c:pt idx="136">
                  <c:v>123.62002370059307</c:v>
                </c:pt>
                <c:pt idx="137">
                  <c:v>123.52224330649646</c:v>
                </c:pt>
                <c:pt idx="138">
                  <c:v>124.24718666605781</c:v>
                </c:pt>
                <c:pt idx="139">
                  <c:v>124.45879802757291</c:v>
                </c:pt>
                <c:pt idx="140">
                  <c:v>123.9254517934971</c:v>
                </c:pt>
                <c:pt idx="141">
                  <c:v>123.35891930359502</c:v>
                </c:pt>
                <c:pt idx="142">
                  <c:v>123.69102299723131</c:v>
                </c:pt>
                <c:pt idx="143">
                  <c:v>122.77541691175816</c:v>
                </c:pt>
                <c:pt idx="144">
                  <c:v>123.64424273470422</c:v>
                </c:pt>
                <c:pt idx="145">
                  <c:v>124.35657170002096</c:v>
                </c:pt>
                <c:pt idx="146">
                  <c:v>125.4130008438231</c:v>
                </c:pt>
                <c:pt idx="147">
                  <c:v>124.16272900136647</c:v>
                </c:pt>
                <c:pt idx="148">
                  <c:v>125.5442839839241</c:v>
                </c:pt>
                <c:pt idx="149">
                  <c:v>124.98842173431493</c:v>
                </c:pt>
                <c:pt idx="150">
                  <c:v>124.69131281180876</c:v>
                </c:pt>
                <c:pt idx="151">
                  <c:v>123.21141980960253</c:v>
                </c:pt>
                <c:pt idx="152">
                  <c:v>122.24238716786051</c:v>
                </c:pt>
                <c:pt idx="153">
                  <c:v>120.62907094911036</c:v>
                </c:pt>
                <c:pt idx="154">
                  <c:v>116.4388464867405</c:v>
                </c:pt>
                <c:pt idx="155">
                  <c:v>118.05483026556389</c:v>
                </c:pt>
                <c:pt idx="156">
                  <c:v>118.5003429397145</c:v>
                </c:pt>
                <c:pt idx="157">
                  <c:v>121.15780546916126</c:v>
                </c:pt>
                <c:pt idx="158">
                  <c:v>119.95188746453238</c:v>
                </c:pt>
                <c:pt idx="159">
                  <c:v>118.50915945182092</c:v>
                </c:pt>
                <c:pt idx="160">
                  <c:v>120.81423277430619</c:v>
                </c:pt>
                <c:pt idx="161">
                  <c:v>117.16073044124609</c:v>
                </c:pt>
                <c:pt idx="162">
                  <c:v>117.05038086578752</c:v>
                </c:pt>
                <c:pt idx="163">
                  <c:v>119.00021656970763</c:v>
                </c:pt>
                <c:pt idx="164">
                  <c:v>120.61008153841956</c:v>
                </c:pt>
                <c:pt idx="165">
                  <c:v>119.79245176953425</c:v>
                </c:pt>
                <c:pt idx="166">
                  <c:v>120.87224090267821</c:v>
                </c:pt>
                <c:pt idx="167">
                  <c:v>120.43789581052908</c:v>
                </c:pt>
                <c:pt idx="168">
                  <c:v>116.82656202597117</c:v>
                </c:pt>
                <c:pt idx="169">
                  <c:v>118.36333283448452</c:v>
                </c:pt>
                <c:pt idx="170">
                  <c:v>117.9595968638536</c:v>
                </c:pt>
                <c:pt idx="171">
                  <c:v>118.41076114832885</c:v>
                </c:pt>
                <c:pt idx="172">
                  <c:v>120.16670894071191</c:v>
                </c:pt>
                <c:pt idx="173">
                  <c:v>120.00828300009177</c:v>
                </c:pt>
                <c:pt idx="174">
                  <c:v>120.00828300009177</c:v>
                </c:pt>
                <c:pt idx="175">
                  <c:v>118.67114213920533</c:v>
                </c:pt>
                <c:pt idx="176">
                  <c:v>120.21923123932881</c:v>
                </c:pt>
                <c:pt idx="177">
                  <c:v>122.32839714152099</c:v>
                </c:pt>
                <c:pt idx="178">
                  <c:v>122.12111114577431</c:v>
                </c:pt>
                <c:pt idx="179">
                  <c:v>121.88546160167841</c:v>
                </c:pt>
                <c:pt idx="180">
                  <c:v>121.83598363715637</c:v>
                </c:pt>
                <c:pt idx="181">
                  <c:v>123.1248974232726</c:v>
                </c:pt>
                <c:pt idx="182">
                  <c:v>123.49850654313303</c:v>
                </c:pt>
                <c:pt idx="183">
                  <c:v>123.23092163296272</c:v>
                </c:pt>
                <c:pt idx="184">
                  <c:v>122.88172746970471</c:v>
                </c:pt>
                <c:pt idx="185">
                  <c:v>123.37112678189621</c:v>
                </c:pt>
                <c:pt idx="186">
                  <c:v>123.24115481539053</c:v>
                </c:pt>
                <c:pt idx="187">
                  <c:v>123.32384917766055</c:v>
                </c:pt>
                <c:pt idx="188">
                  <c:v>122.34114717441335</c:v>
                </c:pt>
                <c:pt idx="189">
                  <c:v>122.26259732638141</c:v>
                </c:pt>
                <c:pt idx="190">
                  <c:v>120.47163969190737</c:v>
                </c:pt>
                <c:pt idx="191">
                  <c:v>121.7339381611348</c:v>
                </c:pt>
                <c:pt idx="192">
                  <c:v>121.02977765660725</c:v>
                </c:pt>
                <c:pt idx="193">
                  <c:v>119.65780780516022</c:v>
                </c:pt>
                <c:pt idx="194">
                  <c:v>120.5577099494113</c:v>
                </c:pt>
              </c:numCache>
            </c:numRef>
          </c:val>
          <c:smooth val="0"/>
        </c:ser>
        <c:ser>
          <c:idx val="2"/>
          <c:order val="2"/>
          <c:tx>
            <c:strRef>
              <c:f>Index_Charts!$D$1</c:f>
              <c:strCache>
                <c:ptCount val="1"/>
                <c:pt idx="0">
                  <c:v>FTSE 100</c:v>
                </c:pt>
              </c:strCache>
            </c:strRef>
          </c:tx>
          <c:spPr>
            <a:ln w="28575" cap="rnd">
              <a:solidFill>
                <a:schemeClr val="accent3"/>
              </a:solidFill>
              <a:round/>
            </a:ln>
            <a:effectLst/>
          </c:spPr>
          <c:marker>
            <c:symbol val="none"/>
          </c:marker>
          <c:cat>
            <c:numRef>
              <c:f>Index_Charts!$A$250:$A$444</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Index_Charts!$D$250:$D$444</c:f>
              <c:numCache>
                <c:formatCode>0.00</c:formatCode>
                <c:ptCount val="195"/>
                <c:pt idx="0">
                  <c:v>100</c:v>
                </c:pt>
                <c:pt idx="1">
                  <c:v>100.09066412212606</c:v>
                </c:pt>
                <c:pt idx="2">
                  <c:v>99.472810424293229</c:v>
                </c:pt>
                <c:pt idx="3">
                  <c:v>101.62437408314049</c:v>
                </c:pt>
                <c:pt idx="4">
                  <c:v>101.22991083703793</c:v>
                </c:pt>
                <c:pt idx="5">
                  <c:v>101.98376071805986</c:v>
                </c:pt>
                <c:pt idx="6">
                  <c:v>102.65304029500024</c:v>
                </c:pt>
                <c:pt idx="7">
                  <c:v>103.19167435825408</c:v>
                </c:pt>
                <c:pt idx="8">
                  <c:v>102.82470760820614</c:v>
                </c:pt>
                <c:pt idx="9">
                  <c:v>101.88596236993044</c:v>
                </c:pt>
                <c:pt idx="10">
                  <c:v>102.48048120354395</c:v>
                </c:pt>
                <c:pt idx="11">
                  <c:v>101.99981272656741</c:v>
                </c:pt>
                <c:pt idx="12">
                  <c:v>101.58721665603964</c:v>
                </c:pt>
                <c:pt idx="13">
                  <c:v>103.57008559584906</c:v>
                </c:pt>
                <c:pt idx="14">
                  <c:v>103.60367590994824</c:v>
                </c:pt>
                <c:pt idx="15">
                  <c:v>102.57515832779688</c:v>
                </c:pt>
                <c:pt idx="16">
                  <c:v>101.70552590392874</c:v>
                </c:pt>
                <c:pt idx="17">
                  <c:v>101.34985501171944</c:v>
                </c:pt>
                <c:pt idx="18">
                  <c:v>101.20523830544298</c:v>
                </c:pt>
                <c:pt idx="19">
                  <c:v>100.28195055684121</c:v>
                </c:pt>
                <c:pt idx="20">
                  <c:v>101.57250231490771</c:v>
                </c:pt>
                <c:pt idx="21">
                  <c:v>103.17324427441206</c:v>
                </c:pt>
                <c:pt idx="22">
                  <c:v>103.57781434068605</c:v>
                </c:pt>
                <c:pt idx="23">
                  <c:v>104.34132515275418</c:v>
                </c:pt>
                <c:pt idx="24">
                  <c:v>104.54806907714327</c:v>
                </c:pt>
                <c:pt idx="25">
                  <c:v>106.67704102031321</c:v>
                </c:pt>
                <c:pt idx="26">
                  <c:v>106.61342750511658</c:v>
                </c:pt>
                <c:pt idx="27">
                  <c:v>105.43167269360134</c:v>
                </c:pt>
                <c:pt idx="28">
                  <c:v>105.09874214677779</c:v>
                </c:pt>
                <c:pt idx="29">
                  <c:v>105.95975404755853</c:v>
                </c:pt>
                <c:pt idx="30">
                  <c:v>106.01965182004508</c:v>
                </c:pt>
                <c:pt idx="31">
                  <c:v>106.87724523753258</c:v>
                </c:pt>
                <c:pt idx="32">
                  <c:v>106.96894976761746</c:v>
                </c:pt>
                <c:pt idx="33">
                  <c:v>107.55856382085365</c:v>
                </c:pt>
                <c:pt idx="34">
                  <c:v>107.30277209269144</c:v>
                </c:pt>
                <c:pt idx="35">
                  <c:v>106.70379436782582</c:v>
                </c:pt>
                <c:pt idx="36">
                  <c:v>107.43876827588052</c:v>
                </c:pt>
                <c:pt idx="37">
                  <c:v>106.52870857132666</c:v>
                </c:pt>
                <c:pt idx="38">
                  <c:v>106.69532247444684</c:v>
                </c:pt>
                <c:pt idx="39">
                  <c:v>106.77171814456617</c:v>
                </c:pt>
                <c:pt idx="40">
                  <c:v>106.28688803575437</c:v>
                </c:pt>
                <c:pt idx="41">
                  <c:v>105.63410635644675</c:v>
                </c:pt>
                <c:pt idx="42">
                  <c:v>105.15150569326097</c:v>
                </c:pt>
                <c:pt idx="43">
                  <c:v>105.62712076015177</c:v>
                </c:pt>
                <c:pt idx="44">
                  <c:v>106.03823053359551</c:v>
                </c:pt>
                <c:pt idx="45">
                  <c:v>106.76711062360566</c:v>
                </c:pt>
                <c:pt idx="46">
                  <c:v>106.95393816706871</c:v>
                </c:pt>
                <c:pt idx="47">
                  <c:v>106.38245693825775</c:v>
                </c:pt>
                <c:pt idx="48">
                  <c:v>105.59115237071816</c:v>
                </c:pt>
                <c:pt idx="49">
                  <c:v>105.98219713352744</c:v>
                </c:pt>
                <c:pt idx="50">
                  <c:v>106.28733392487956</c:v>
                </c:pt>
                <c:pt idx="51">
                  <c:v>106.40683221043588</c:v>
                </c:pt>
                <c:pt idx="52">
                  <c:v>106.79683656528634</c:v>
                </c:pt>
                <c:pt idx="53">
                  <c:v>107.4337148657948</c:v>
                </c:pt>
                <c:pt idx="54">
                  <c:v>108.48764812808314</c:v>
                </c:pt>
                <c:pt idx="55">
                  <c:v>108.85639843463191</c:v>
                </c:pt>
                <c:pt idx="56">
                  <c:v>108.36606902660917</c:v>
                </c:pt>
                <c:pt idx="57">
                  <c:v>109.32175805164289</c:v>
                </c:pt>
                <c:pt idx="58">
                  <c:v>107.12619999910822</c:v>
                </c:pt>
                <c:pt idx="59">
                  <c:v>106.68016224418967</c:v>
                </c:pt>
                <c:pt idx="60">
                  <c:v>106.95824842861241</c:v>
                </c:pt>
                <c:pt idx="61">
                  <c:v>106.92703618984768</c:v>
                </c:pt>
                <c:pt idx="62">
                  <c:v>107.52363583937885</c:v>
                </c:pt>
                <c:pt idx="63">
                  <c:v>108.19038871127637</c:v>
                </c:pt>
                <c:pt idx="64">
                  <c:v>108.75800556766887</c:v>
                </c:pt>
                <c:pt idx="65">
                  <c:v>109.85400103743537</c:v>
                </c:pt>
                <c:pt idx="66">
                  <c:v>110.25767932545894</c:v>
                </c:pt>
                <c:pt idx="67">
                  <c:v>110.01481838192781</c:v>
                </c:pt>
                <c:pt idx="68">
                  <c:v>110.68261166178416</c:v>
                </c:pt>
                <c:pt idx="69">
                  <c:v>110.75722377540266</c:v>
                </c:pt>
                <c:pt idx="70">
                  <c:v>110.366030382885</c:v>
                </c:pt>
                <c:pt idx="71">
                  <c:v>110.31163190960936</c:v>
                </c:pt>
                <c:pt idx="72">
                  <c:v>110.25277454508162</c:v>
                </c:pt>
                <c:pt idx="73">
                  <c:v>110.53680591784047</c:v>
                </c:pt>
                <c:pt idx="74">
                  <c:v>110.5339819533808</c:v>
                </c:pt>
                <c:pt idx="75">
                  <c:v>111.02520313965397</c:v>
                </c:pt>
                <c:pt idx="76">
                  <c:v>111.04601129883042</c:v>
                </c:pt>
                <c:pt idx="77">
                  <c:v>110.87597891241697</c:v>
                </c:pt>
                <c:pt idx="78">
                  <c:v>110.87597891241697</c:v>
                </c:pt>
                <c:pt idx="79">
                  <c:v>110.87597891241697</c:v>
                </c:pt>
                <c:pt idx="80">
                  <c:v>111.81517003981789</c:v>
                </c:pt>
                <c:pt idx="81">
                  <c:v>111.05240237629177</c:v>
                </c:pt>
                <c:pt idx="82">
                  <c:v>110.49325741327829</c:v>
                </c:pt>
                <c:pt idx="83">
                  <c:v>110.40497136648666</c:v>
                </c:pt>
                <c:pt idx="84">
                  <c:v>110.59031261286567</c:v>
                </c:pt>
                <c:pt idx="85">
                  <c:v>110.25678754720852</c:v>
                </c:pt>
                <c:pt idx="86">
                  <c:v>109.76690402831099</c:v>
                </c:pt>
                <c:pt idx="87">
                  <c:v>109.26230616828154</c:v>
                </c:pt>
                <c:pt idx="88">
                  <c:v>109.69823710302865</c:v>
                </c:pt>
                <c:pt idx="89">
                  <c:v>109.69823710302865</c:v>
                </c:pt>
                <c:pt idx="90">
                  <c:v>107.91215389714527</c:v>
                </c:pt>
                <c:pt idx="91">
                  <c:v>108.06866098009402</c:v>
                </c:pt>
                <c:pt idx="92">
                  <c:v>107.12352466435695</c:v>
                </c:pt>
                <c:pt idx="93">
                  <c:v>107.06228922449476</c:v>
                </c:pt>
                <c:pt idx="94">
                  <c:v>106.47356694950901</c:v>
                </c:pt>
                <c:pt idx="95">
                  <c:v>107.63168963738809</c:v>
                </c:pt>
                <c:pt idx="96">
                  <c:v>108.45435507340078</c:v>
                </c:pt>
                <c:pt idx="97">
                  <c:v>109.29500470413028</c:v>
                </c:pt>
                <c:pt idx="98">
                  <c:v>109.22232477672102</c:v>
                </c:pt>
                <c:pt idx="99">
                  <c:v>108.66139625720668</c:v>
                </c:pt>
                <c:pt idx="100">
                  <c:v>108.92952425116637</c:v>
                </c:pt>
                <c:pt idx="101">
                  <c:v>109.00785210749495</c:v>
                </c:pt>
                <c:pt idx="102">
                  <c:v>107.47473666531413</c:v>
                </c:pt>
                <c:pt idx="103">
                  <c:v>108.16868877384948</c:v>
                </c:pt>
                <c:pt idx="104">
                  <c:v>108.16868877384948</c:v>
                </c:pt>
                <c:pt idx="105">
                  <c:v>108.03819188987134</c:v>
                </c:pt>
                <c:pt idx="106">
                  <c:v>106.79490437907711</c:v>
                </c:pt>
                <c:pt idx="107">
                  <c:v>107.2833016008906</c:v>
                </c:pt>
                <c:pt idx="108">
                  <c:v>106.44428689695353</c:v>
                </c:pt>
                <c:pt idx="109">
                  <c:v>106.78747289365693</c:v>
                </c:pt>
                <c:pt idx="110">
                  <c:v>107.22578190373848</c:v>
                </c:pt>
                <c:pt idx="111">
                  <c:v>107.31391932082168</c:v>
                </c:pt>
                <c:pt idx="112">
                  <c:v>107.90293885522426</c:v>
                </c:pt>
                <c:pt idx="113">
                  <c:v>108.97441042310419</c:v>
                </c:pt>
                <c:pt idx="114">
                  <c:v>109.6224359517429</c:v>
                </c:pt>
                <c:pt idx="115">
                  <c:v>109.96294661369504</c:v>
                </c:pt>
                <c:pt idx="116">
                  <c:v>109.50472122268744</c:v>
                </c:pt>
                <c:pt idx="117">
                  <c:v>109.51884104498575</c:v>
                </c:pt>
                <c:pt idx="118">
                  <c:v>109.18011393953446</c:v>
                </c:pt>
                <c:pt idx="119">
                  <c:v>109.35148399332355</c:v>
                </c:pt>
                <c:pt idx="120">
                  <c:v>110.62568648346569</c:v>
                </c:pt>
                <c:pt idx="121">
                  <c:v>110.03859913527236</c:v>
                </c:pt>
                <c:pt idx="122">
                  <c:v>110.3492352258354</c:v>
                </c:pt>
                <c:pt idx="123">
                  <c:v>110.09745649980009</c:v>
                </c:pt>
                <c:pt idx="124">
                  <c:v>110.23404720182279</c:v>
                </c:pt>
                <c:pt idx="125">
                  <c:v>110.31936065444634</c:v>
                </c:pt>
                <c:pt idx="126">
                  <c:v>110.2295883105707</c:v>
                </c:pt>
                <c:pt idx="127">
                  <c:v>110.02061494055555</c:v>
                </c:pt>
                <c:pt idx="128">
                  <c:v>110.36692216113542</c:v>
                </c:pt>
                <c:pt idx="129">
                  <c:v>111.43512387543046</c:v>
                </c:pt>
                <c:pt idx="130">
                  <c:v>112.35202054657087</c:v>
                </c:pt>
                <c:pt idx="131">
                  <c:v>113.097101274797</c:v>
                </c:pt>
                <c:pt idx="132">
                  <c:v>113.01178782217347</c:v>
                </c:pt>
                <c:pt idx="133">
                  <c:v>112.26209957298686</c:v>
                </c:pt>
                <c:pt idx="134">
                  <c:v>112.20457987583474</c:v>
                </c:pt>
                <c:pt idx="135">
                  <c:v>112.01433384907841</c:v>
                </c:pt>
                <c:pt idx="136">
                  <c:v>111.92842587762127</c:v>
                </c:pt>
                <c:pt idx="137">
                  <c:v>111.61823567618343</c:v>
                </c:pt>
                <c:pt idx="138">
                  <c:v>111.56101323844814</c:v>
                </c:pt>
                <c:pt idx="139">
                  <c:v>111.94373473758684</c:v>
                </c:pt>
                <c:pt idx="140">
                  <c:v>112.61970265140538</c:v>
                </c:pt>
                <c:pt idx="141">
                  <c:v>111.99932224852969</c:v>
                </c:pt>
                <c:pt idx="142">
                  <c:v>111.36957817402458</c:v>
                </c:pt>
                <c:pt idx="143">
                  <c:v>111.60158914884224</c:v>
                </c:pt>
                <c:pt idx="144">
                  <c:v>111.69418545717755</c:v>
                </c:pt>
                <c:pt idx="145">
                  <c:v>112.31738982451289</c:v>
                </c:pt>
                <c:pt idx="146">
                  <c:v>111.4939812399582</c:v>
                </c:pt>
                <c:pt idx="147">
                  <c:v>111.30953177182963</c:v>
                </c:pt>
                <c:pt idx="148">
                  <c:v>112.20145865195828</c:v>
                </c:pt>
                <c:pt idx="149">
                  <c:v>114.24586029104668</c:v>
                </c:pt>
                <c:pt idx="150">
                  <c:v>113.65371953276767</c:v>
                </c:pt>
                <c:pt idx="151">
                  <c:v>112.76208991205579</c:v>
                </c:pt>
                <c:pt idx="152">
                  <c:v>112.73370163775076</c:v>
                </c:pt>
                <c:pt idx="153">
                  <c:v>110.09091679263034</c:v>
                </c:pt>
                <c:pt idx="154">
                  <c:v>107.36787190497212</c:v>
                </c:pt>
                <c:pt idx="155">
                  <c:v>106.59261934594009</c:v>
                </c:pt>
                <c:pt idx="156">
                  <c:v>106.99406818833761</c:v>
                </c:pt>
                <c:pt idx="157">
                  <c:v>108.29011924561505</c:v>
                </c:pt>
                <c:pt idx="158">
                  <c:v>107.81376103018223</c:v>
                </c:pt>
                <c:pt idx="159">
                  <c:v>107.41052863128388</c:v>
                </c:pt>
                <c:pt idx="160">
                  <c:v>107.76991526620323</c:v>
                </c:pt>
                <c:pt idx="161">
                  <c:v>106.23873201023166</c:v>
                </c:pt>
                <c:pt idx="162">
                  <c:v>105.03676355837356</c:v>
                </c:pt>
                <c:pt idx="163">
                  <c:v>105.7819929163081</c:v>
                </c:pt>
                <c:pt idx="164">
                  <c:v>106.85955830223254</c:v>
                </c:pt>
                <c:pt idx="165">
                  <c:v>105.89866723740475</c:v>
                </c:pt>
                <c:pt idx="166">
                  <c:v>107.07239604466621</c:v>
                </c:pt>
                <c:pt idx="167">
                  <c:v>105.94593148467702</c:v>
                </c:pt>
                <c:pt idx="168">
                  <c:v>105.45248085277781</c:v>
                </c:pt>
                <c:pt idx="169">
                  <c:v>105.45248085277781</c:v>
                </c:pt>
                <c:pt idx="170">
                  <c:v>105.37222081023998</c:v>
                </c:pt>
                <c:pt idx="171">
                  <c:v>105.74572726745768</c:v>
                </c:pt>
                <c:pt idx="172">
                  <c:v>106.78033866765355</c:v>
                </c:pt>
                <c:pt idx="173">
                  <c:v>107.12010618106369</c:v>
                </c:pt>
                <c:pt idx="174">
                  <c:v>108.23126188108732</c:v>
                </c:pt>
                <c:pt idx="175">
                  <c:v>108.02689603203265</c:v>
                </c:pt>
                <c:pt idx="176">
                  <c:v>108.66704418612601</c:v>
                </c:pt>
                <c:pt idx="177">
                  <c:v>108.07118768513688</c:v>
                </c:pt>
                <c:pt idx="178">
                  <c:v>108.23720706942346</c:v>
                </c:pt>
                <c:pt idx="179">
                  <c:v>107.54563303622255</c:v>
                </c:pt>
                <c:pt idx="180">
                  <c:v>108.02332891903099</c:v>
                </c:pt>
                <c:pt idx="181">
                  <c:v>109.06492591552184</c:v>
                </c:pt>
                <c:pt idx="182">
                  <c:v>109.16361604190168</c:v>
                </c:pt>
                <c:pt idx="183">
                  <c:v>109.50234314735299</c:v>
                </c:pt>
                <c:pt idx="184">
                  <c:v>108.81790334015544</c:v>
                </c:pt>
                <c:pt idx="185">
                  <c:v>108.80289173960669</c:v>
                </c:pt>
                <c:pt idx="186">
                  <c:v>108.70851187477055</c:v>
                </c:pt>
                <c:pt idx="187">
                  <c:v>109.33825594927565</c:v>
                </c:pt>
                <c:pt idx="188">
                  <c:v>109.16733178461178</c:v>
                </c:pt>
                <c:pt idx="189">
                  <c:v>108.88731341397981</c:v>
                </c:pt>
                <c:pt idx="190">
                  <c:v>108.37231147436212</c:v>
                </c:pt>
                <c:pt idx="191">
                  <c:v>108.35090879635203</c:v>
                </c:pt>
                <c:pt idx="192">
                  <c:v>109.25888768498824</c:v>
                </c:pt>
                <c:pt idx="193">
                  <c:v>110.37554268422281</c:v>
                </c:pt>
                <c:pt idx="194">
                  <c:v>110.10800920909674</c:v>
                </c:pt>
              </c:numCache>
            </c:numRef>
          </c:val>
          <c:smooth val="0"/>
        </c:ser>
        <c:ser>
          <c:idx val="3"/>
          <c:order val="3"/>
          <c:tx>
            <c:strRef>
              <c:f>Index_Charts!$E$1</c:f>
              <c:strCache>
                <c:ptCount val="1"/>
                <c:pt idx="0">
                  <c:v>DAX</c:v>
                </c:pt>
              </c:strCache>
            </c:strRef>
          </c:tx>
          <c:spPr>
            <a:ln w="28575" cap="rnd">
              <a:solidFill>
                <a:schemeClr val="accent4"/>
              </a:solidFill>
              <a:round/>
            </a:ln>
            <a:effectLst/>
          </c:spPr>
          <c:marker>
            <c:symbol val="none"/>
          </c:marker>
          <c:cat>
            <c:numRef>
              <c:f>Index_Charts!$A$250:$A$444</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Index_Charts!$E$250:$E$444</c:f>
              <c:numCache>
                <c:formatCode>0.00</c:formatCode>
                <c:ptCount val="195"/>
                <c:pt idx="0">
                  <c:v>100</c:v>
                </c:pt>
                <c:pt idx="1">
                  <c:v>100.20106146817491</c:v>
                </c:pt>
                <c:pt idx="2">
                  <c:v>98.652329396076894</c:v>
                </c:pt>
                <c:pt idx="3">
                  <c:v>101.97680453377987</c:v>
                </c:pt>
                <c:pt idx="4">
                  <c:v>101.78852841567732</c:v>
                </c:pt>
                <c:pt idx="5">
                  <c:v>102.32049368498413</c:v>
                </c:pt>
                <c:pt idx="6">
                  <c:v>103.16659974088358</c:v>
                </c:pt>
                <c:pt idx="7">
                  <c:v>103.43433444202839</c:v>
                </c:pt>
                <c:pt idx="8">
                  <c:v>103.11110185093986</c:v>
                </c:pt>
                <c:pt idx="9">
                  <c:v>102.81230348443408</c:v>
                </c:pt>
                <c:pt idx="10">
                  <c:v>103.15210967746826</c:v>
                </c:pt>
                <c:pt idx="11">
                  <c:v>103.52572601847152</c:v>
                </c:pt>
                <c:pt idx="12">
                  <c:v>103.40620667186921</c:v>
                </c:pt>
                <c:pt idx="13">
                  <c:v>106.12351974058052</c:v>
                </c:pt>
                <c:pt idx="14">
                  <c:v>105.46682627834561</c:v>
                </c:pt>
                <c:pt idx="15">
                  <c:v>105.03032495624571</c:v>
                </c:pt>
                <c:pt idx="16">
                  <c:v>104.85445536302819</c:v>
                </c:pt>
                <c:pt idx="17">
                  <c:v>105.40981308765258</c:v>
                </c:pt>
                <c:pt idx="18">
                  <c:v>106.84565525392654</c:v>
                </c:pt>
                <c:pt idx="19">
                  <c:v>106.16869464416952</c:v>
                </c:pt>
                <c:pt idx="20">
                  <c:v>106.24938440907059</c:v>
                </c:pt>
                <c:pt idx="21">
                  <c:v>105.89736110374508</c:v>
                </c:pt>
                <c:pt idx="22">
                  <c:v>105.81629251365665</c:v>
                </c:pt>
                <c:pt idx="23">
                  <c:v>105.88789047406183</c:v>
                </c:pt>
                <c:pt idx="24">
                  <c:v>105.8492503049543</c:v>
                </c:pt>
                <c:pt idx="25">
                  <c:v>107.66192882632382</c:v>
                </c:pt>
                <c:pt idx="26">
                  <c:v>107.25222938622743</c:v>
                </c:pt>
                <c:pt idx="27">
                  <c:v>104.38546978111482</c:v>
                </c:pt>
                <c:pt idx="28">
                  <c:v>103.29407441641982</c:v>
                </c:pt>
                <c:pt idx="29">
                  <c:v>104.31510300256845</c:v>
                </c:pt>
                <c:pt idx="30">
                  <c:v>105.37098350595136</c:v>
                </c:pt>
                <c:pt idx="31">
                  <c:v>105.76060521111927</c:v>
                </c:pt>
                <c:pt idx="32">
                  <c:v>105.02729435474707</c:v>
                </c:pt>
                <c:pt idx="33">
                  <c:v>107.01622129452144</c:v>
                </c:pt>
                <c:pt idx="34">
                  <c:v>107.01053891671151</c:v>
                </c:pt>
                <c:pt idx="35">
                  <c:v>107.10533991984059</c:v>
                </c:pt>
                <c:pt idx="36">
                  <c:v>107.98383552925668</c:v>
                </c:pt>
                <c:pt idx="37">
                  <c:v>108.18565464780623</c:v>
                </c:pt>
                <c:pt idx="38">
                  <c:v>108.5116337215029</c:v>
                </c:pt>
                <c:pt idx="39">
                  <c:v>108.96328805109594</c:v>
                </c:pt>
                <c:pt idx="40">
                  <c:v>109.29854834188217</c:v>
                </c:pt>
                <c:pt idx="41">
                  <c:v>108.79224847901688</c:v>
                </c:pt>
                <c:pt idx="42">
                  <c:v>109.06036200534901</c:v>
                </c:pt>
                <c:pt idx="43">
                  <c:v>109.87521498329383</c:v>
                </c:pt>
                <c:pt idx="44">
                  <c:v>109.78978990355111</c:v>
                </c:pt>
                <c:pt idx="45">
                  <c:v>110.0557251850561</c:v>
                </c:pt>
                <c:pt idx="46">
                  <c:v>109.74215263624447</c:v>
                </c:pt>
                <c:pt idx="47">
                  <c:v>109.08081856546478</c:v>
                </c:pt>
                <c:pt idx="48">
                  <c:v>108.51295960965854</c:v>
                </c:pt>
                <c:pt idx="49">
                  <c:v>109.32402433573003</c:v>
                </c:pt>
                <c:pt idx="50">
                  <c:v>109.14114647654694</c:v>
                </c:pt>
                <c:pt idx="51">
                  <c:v>109.59800965246578</c:v>
                </c:pt>
                <c:pt idx="52">
                  <c:v>109.74063733549517</c:v>
                </c:pt>
                <c:pt idx="53">
                  <c:v>110.67084258298168</c:v>
                </c:pt>
                <c:pt idx="54">
                  <c:v>110.3996984551509</c:v>
                </c:pt>
                <c:pt idx="55">
                  <c:v>111.64366566404267</c:v>
                </c:pt>
                <c:pt idx="56">
                  <c:v>109.89614507489374</c:v>
                </c:pt>
                <c:pt idx="57">
                  <c:v>109.38539401607734</c:v>
                </c:pt>
                <c:pt idx="58">
                  <c:v>107.62584572723073</c:v>
                </c:pt>
                <c:pt idx="59">
                  <c:v>107.45992029518059</c:v>
                </c:pt>
                <c:pt idx="60">
                  <c:v>108.14966625500998</c:v>
                </c:pt>
                <c:pt idx="61">
                  <c:v>108.14549917794936</c:v>
                </c:pt>
                <c:pt idx="62">
                  <c:v>108.23187132066036</c:v>
                </c:pt>
                <c:pt idx="63">
                  <c:v>109.15885655405458</c:v>
                </c:pt>
                <c:pt idx="64">
                  <c:v>110.63580125315373</c:v>
                </c:pt>
                <c:pt idx="65">
                  <c:v>111.32526309409261</c:v>
                </c:pt>
                <c:pt idx="66">
                  <c:v>113.21569548516142</c:v>
                </c:pt>
                <c:pt idx="67">
                  <c:v>113.53400334881468</c:v>
                </c:pt>
                <c:pt idx="68">
                  <c:v>113.73989483812801</c:v>
                </c:pt>
                <c:pt idx="69">
                  <c:v>113.30093115231045</c:v>
                </c:pt>
                <c:pt idx="70">
                  <c:v>112.23236000515202</c:v>
                </c:pt>
                <c:pt idx="71">
                  <c:v>112.75646465182179</c:v>
                </c:pt>
                <c:pt idx="72">
                  <c:v>113.03385939524348</c:v>
                </c:pt>
                <c:pt idx="73">
                  <c:v>113.64689325463873</c:v>
                </c:pt>
                <c:pt idx="74">
                  <c:v>113.8396205686924</c:v>
                </c:pt>
                <c:pt idx="75">
                  <c:v>114.60712039822106</c:v>
                </c:pt>
                <c:pt idx="76">
                  <c:v>115.09722548432802</c:v>
                </c:pt>
                <c:pt idx="77">
                  <c:v>115.75372953396925</c:v>
                </c:pt>
                <c:pt idx="78">
                  <c:v>115.75372953396925</c:v>
                </c:pt>
                <c:pt idx="79">
                  <c:v>115.75372953396925</c:v>
                </c:pt>
                <c:pt idx="80">
                  <c:v>115.87798419541319</c:v>
                </c:pt>
                <c:pt idx="81">
                  <c:v>116.61337859031573</c:v>
                </c:pt>
                <c:pt idx="82">
                  <c:v>116.32395614719633</c:v>
                </c:pt>
                <c:pt idx="83">
                  <c:v>116.63250926227585</c:v>
                </c:pt>
                <c:pt idx="84">
                  <c:v>116.75411214740848</c:v>
                </c:pt>
                <c:pt idx="85">
                  <c:v>116.90621046012109</c:v>
                </c:pt>
                <c:pt idx="86">
                  <c:v>116.90621046012109</c:v>
                </c:pt>
                <c:pt idx="87">
                  <c:v>116.9189011038966</c:v>
                </c:pt>
                <c:pt idx="88">
                  <c:v>117.55655860046824</c:v>
                </c:pt>
                <c:pt idx="89">
                  <c:v>116.36449044224054</c:v>
                </c:pt>
                <c:pt idx="90">
                  <c:v>114.52586239553897</c:v>
                </c:pt>
                <c:pt idx="91">
                  <c:v>115.35160659761947</c:v>
                </c:pt>
                <c:pt idx="92">
                  <c:v>113.40056217657801</c:v>
                </c:pt>
                <c:pt idx="93">
                  <c:v>114.21418397266399</c:v>
                </c:pt>
                <c:pt idx="94">
                  <c:v>112.47935402729057</c:v>
                </c:pt>
                <c:pt idx="95">
                  <c:v>113.56819232197113</c:v>
                </c:pt>
                <c:pt idx="96">
                  <c:v>114.5905467962754</c:v>
                </c:pt>
                <c:pt idx="97">
                  <c:v>116.58695553349953</c:v>
                </c:pt>
                <c:pt idx="98">
                  <c:v>115.91046845522666</c:v>
                </c:pt>
                <c:pt idx="99">
                  <c:v>114.03859849833697</c:v>
                </c:pt>
                <c:pt idx="100">
                  <c:v>115.00630743936904</c:v>
                </c:pt>
                <c:pt idx="101">
                  <c:v>115.24563025146418</c:v>
                </c:pt>
                <c:pt idx="102">
                  <c:v>113.19684893209181</c:v>
                </c:pt>
                <c:pt idx="103">
                  <c:v>113.75211195041939</c:v>
                </c:pt>
                <c:pt idx="104">
                  <c:v>114.32167561956861</c:v>
                </c:pt>
                <c:pt idx="105">
                  <c:v>113.90373673164783</c:v>
                </c:pt>
                <c:pt idx="106">
                  <c:v>112.11151477039405</c:v>
                </c:pt>
                <c:pt idx="107">
                  <c:v>112.72019214013503</c:v>
                </c:pt>
                <c:pt idx="108">
                  <c:v>111.06055899444642</c:v>
                </c:pt>
                <c:pt idx="109">
                  <c:v>111.68533643464886</c:v>
                </c:pt>
                <c:pt idx="110">
                  <c:v>113.37451794494913</c:v>
                </c:pt>
                <c:pt idx="111">
                  <c:v>113.46581481509543</c:v>
                </c:pt>
                <c:pt idx="112">
                  <c:v>113.20376249176056</c:v>
                </c:pt>
                <c:pt idx="113">
                  <c:v>114.07733337374135</c:v>
                </c:pt>
                <c:pt idx="114">
                  <c:v>114.07733337374135</c:v>
                </c:pt>
                <c:pt idx="115">
                  <c:v>115.12317500966005</c:v>
                </c:pt>
                <c:pt idx="116">
                  <c:v>114.74311864047218</c:v>
                </c:pt>
                <c:pt idx="117">
                  <c:v>115.24856614666596</c:v>
                </c:pt>
                <c:pt idx="118">
                  <c:v>114.56052490017956</c:v>
                </c:pt>
                <c:pt idx="119">
                  <c:v>114.46032563813104</c:v>
                </c:pt>
                <c:pt idx="120">
                  <c:v>116.7894375961269</c:v>
                </c:pt>
                <c:pt idx="121">
                  <c:v>116.56952957488238</c:v>
                </c:pt>
                <c:pt idx="122">
                  <c:v>117.01332328183838</c:v>
                </c:pt>
                <c:pt idx="123">
                  <c:v>116.86681264063886</c:v>
                </c:pt>
                <c:pt idx="124">
                  <c:v>116.24790699084002</c:v>
                </c:pt>
                <c:pt idx="125">
                  <c:v>115.81102684355278</c:v>
                </c:pt>
                <c:pt idx="126">
                  <c:v>115.97089107260565</c:v>
                </c:pt>
                <c:pt idx="127">
                  <c:v>116.21438096176139</c:v>
                </c:pt>
                <c:pt idx="128">
                  <c:v>117.42444331638721</c:v>
                </c:pt>
                <c:pt idx="129">
                  <c:v>118.5853531029571</c:v>
                </c:pt>
                <c:pt idx="130">
                  <c:v>118.63592626546556</c:v>
                </c:pt>
                <c:pt idx="131">
                  <c:v>119.48373703470799</c:v>
                </c:pt>
                <c:pt idx="132">
                  <c:v>119.61310583618084</c:v>
                </c:pt>
                <c:pt idx="133">
                  <c:v>119.03189329252125</c:v>
                </c:pt>
                <c:pt idx="134">
                  <c:v>118.79493813784691</c:v>
                </c:pt>
                <c:pt idx="135">
                  <c:v>117.78195958692901</c:v>
                </c:pt>
                <c:pt idx="136">
                  <c:v>117.18398402873011</c:v>
                </c:pt>
                <c:pt idx="137">
                  <c:v>116.7929417291097</c:v>
                </c:pt>
                <c:pt idx="138">
                  <c:v>116.70960018789729</c:v>
                </c:pt>
                <c:pt idx="139">
                  <c:v>117.31590990021745</c:v>
                </c:pt>
                <c:pt idx="140">
                  <c:v>117.72911347329662</c:v>
                </c:pt>
                <c:pt idx="141">
                  <c:v>116.87732503958725</c:v>
                </c:pt>
                <c:pt idx="142">
                  <c:v>115.8054391720397</c:v>
                </c:pt>
                <c:pt idx="143">
                  <c:v>116.11058286043323</c:v>
                </c:pt>
                <c:pt idx="144">
                  <c:v>116.38835642904226</c:v>
                </c:pt>
                <c:pt idx="145">
                  <c:v>118.29517300946306</c:v>
                </c:pt>
                <c:pt idx="146">
                  <c:v>118.5996537537788</c:v>
                </c:pt>
                <c:pt idx="147">
                  <c:v>117.07687120701283</c:v>
                </c:pt>
                <c:pt idx="148">
                  <c:v>117.62427360270331</c:v>
                </c:pt>
                <c:pt idx="149">
                  <c:v>117.60125997257308</c:v>
                </c:pt>
                <c:pt idx="150">
                  <c:v>115.04201171327479</c:v>
                </c:pt>
                <c:pt idx="151">
                  <c:v>115.43788403403367</c:v>
                </c:pt>
                <c:pt idx="152">
                  <c:v>116.0450461030253</c:v>
                </c:pt>
                <c:pt idx="153">
                  <c:v>112.4394826763242</c:v>
                </c:pt>
                <c:pt idx="154">
                  <c:v>110.41343086819157</c:v>
                </c:pt>
                <c:pt idx="155">
                  <c:v>109.55586535037543</c:v>
                </c:pt>
                <c:pt idx="156">
                  <c:v>110.33425640403979</c:v>
                </c:pt>
                <c:pt idx="157">
                  <c:v>112.18349155598659</c:v>
                </c:pt>
                <c:pt idx="158">
                  <c:v>110.74764938971262</c:v>
                </c:pt>
                <c:pt idx="159">
                  <c:v>110.61392409858549</c:v>
                </c:pt>
                <c:pt idx="160">
                  <c:v>111.28112995976878</c:v>
                </c:pt>
                <c:pt idx="161">
                  <c:v>108.84272693522847</c:v>
                </c:pt>
                <c:pt idx="162">
                  <c:v>108.08517126686721</c:v>
                </c:pt>
                <c:pt idx="163">
                  <c:v>109.50642866342899</c:v>
                </c:pt>
                <c:pt idx="164">
                  <c:v>110.95193087197983</c:v>
                </c:pt>
                <c:pt idx="165">
                  <c:v>110.34401115261352</c:v>
                </c:pt>
                <c:pt idx="166">
                  <c:v>111.78042155666847</c:v>
                </c:pt>
                <c:pt idx="167">
                  <c:v>111.25186571404761</c:v>
                </c:pt>
                <c:pt idx="168">
                  <c:v>109.96831127307993</c:v>
                </c:pt>
                <c:pt idx="169">
                  <c:v>110.40897967224046</c:v>
                </c:pt>
                <c:pt idx="170">
                  <c:v>111.09067559683909</c:v>
                </c:pt>
                <c:pt idx="171">
                  <c:v>110.81602733602554</c:v>
                </c:pt>
                <c:pt idx="172">
                  <c:v>112.1216483441551</c:v>
                </c:pt>
                <c:pt idx="173">
                  <c:v>113.07249956435106</c:v>
                </c:pt>
                <c:pt idx="174">
                  <c:v>113.20982369475783</c:v>
                </c:pt>
                <c:pt idx="175">
                  <c:v>112.80334426875376</c:v>
                </c:pt>
                <c:pt idx="176">
                  <c:v>113.88470076598453</c:v>
                </c:pt>
                <c:pt idx="177">
                  <c:v>114.84824262995599</c:v>
                </c:pt>
                <c:pt idx="178">
                  <c:v>115.46336002788154</c:v>
                </c:pt>
                <c:pt idx="179">
                  <c:v>115.78886557009405</c:v>
                </c:pt>
                <c:pt idx="180">
                  <c:v>116.1924091008963</c:v>
                </c:pt>
                <c:pt idx="181">
                  <c:v>117.04817519907265</c:v>
                </c:pt>
                <c:pt idx="182">
                  <c:v>117.53288202626018</c:v>
                </c:pt>
                <c:pt idx="183">
                  <c:v>118.08483032419861</c:v>
                </c:pt>
                <c:pt idx="184">
                  <c:v>117.24933137354436</c:v>
                </c:pt>
                <c:pt idx="185">
                  <c:v>117.17640752498353</c:v>
                </c:pt>
                <c:pt idx="186">
                  <c:v>117.33750293589522</c:v>
                </c:pt>
                <c:pt idx="187">
                  <c:v>117.98226340472925</c:v>
                </c:pt>
                <c:pt idx="188">
                  <c:v>118.07990559676334</c:v>
                </c:pt>
                <c:pt idx="189">
                  <c:v>116.88963685817544</c:v>
                </c:pt>
                <c:pt idx="190">
                  <c:v>116.55646010591954</c:v>
                </c:pt>
                <c:pt idx="191">
                  <c:v>115.86538825793451</c:v>
                </c:pt>
                <c:pt idx="192">
                  <c:v>116.38021168751469</c:v>
                </c:pt>
                <c:pt idx="193">
                  <c:v>117.2552978702448</c:v>
                </c:pt>
                <c:pt idx="194">
                  <c:v>117.70174335351209</c:v>
                </c:pt>
              </c:numCache>
            </c:numRef>
          </c:val>
          <c:smooth val="0"/>
        </c:ser>
        <c:ser>
          <c:idx val="4"/>
          <c:order val="4"/>
          <c:tx>
            <c:strRef>
              <c:f>Index_Charts!$F$1</c:f>
              <c:strCache>
                <c:ptCount val="1"/>
                <c:pt idx="0">
                  <c:v>Hang Seng</c:v>
                </c:pt>
              </c:strCache>
            </c:strRef>
          </c:tx>
          <c:spPr>
            <a:ln w="28575" cap="rnd">
              <a:solidFill>
                <a:schemeClr val="accent5"/>
              </a:solidFill>
              <a:round/>
            </a:ln>
            <a:effectLst/>
          </c:spPr>
          <c:marker>
            <c:symbol val="none"/>
          </c:marker>
          <c:cat>
            <c:numRef>
              <c:f>Index_Charts!$A$250:$A$444</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Index_Charts!$F$250:$F$444</c:f>
              <c:numCache>
                <c:formatCode>0.00</c:formatCode>
                <c:ptCount val="195"/>
                <c:pt idx="0">
                  <c:v>100</c:v>
                </c:pt>
                <c:pt idx="1">
                  <c:v>97.232228184959197</c:v>
                </c:pt>
                <c:pt idx="2">
                  <c:v>96.976905249229077</c:v>
                </c:pt>
                <c:pt idx="3">
                  <c:v>99.150071385182059</c:v>
                </c:pt>
                <c:pt idx="4">
                  <c:v>99.961308844411263</c:v>
                </c:pt>
                <c:pt idx="5">
                  <c:v>100.11510618787651</c:v>
                </c:pt>
                <c:pt idx="6">
                  <c:v>102.38577403591313</c:v>
                </c:pt>
                <c:pt idx="7">
                  <c:v>102.61447745659819</c:v>
                </c:pt>
                <c:pt idx="8">
                  <c:v>103.17874926970443</c:v>
                </c:pt>
                <c:pt idx="9">
                  <c:v>101.75127777541333</c:v>
                </c:pt>
                <c:pt idx="10">
                  <c:v>103.80949248811216</c:v>
                </c:pt>
                <c:pt idx="11">
                  <c:v>104.08733367639491</c:v>
                </c:pt>
                <c:pt idx="12">
                  <c:v>103.52062432048659</c:v>
                </c:pt>
                <c:pt idx="13">
                  <c:v>104.8174744735101</c:v>
                </c:pt>
                <c:pt idx="14">
                  <c:v>105.22655606154989</c:v>
                </c:pt>
                <c:pt idx="15">
                  <c:v>104.48720676940457</c:v>
                </c:pt>
                <c:pt idx="16">
                  <c:v>104.49784683719147</c:v>
                </c:pt>
                <c:pt idx="17">
                  <c:v>104.93420568992133</c:v>
                </c:pt>
                <c:pt idx="18">
                  <c:v>106.66838197456443</c:v>
                </c:pt>
                <c:pt idx="19">
                  <c:v>106.69844500245689</c:v>
                </c:pt>
                <c:pt idx="20">
                  <c:v>106.52325144995105</c:v>
                </c:pt>
                <c:pt idx="21">
                  <c:v>106.95338102663112</c:v>
                </c:pt>
                <c:pt idx="22">
                  <c:v>108.11264543038106</c:v>
                </c:pt>
                <c:pt idx="23">
                  <c:v>108.06726070487547</c:v>
                </c:pt>
                <c:pt idx="24">
                  <c:v>108.29735700716172</c:v>
                </c:pt>
                <c:pt idx="25">
                  <c:v>108.29735700716172</c:v>
                </c:pt>
                <c:pt idx="26">
                  <c:v>108.29735700716172</c:v>
                </c:pt>
                <c:pt idx="27">
                  <c:v>108.29735700716172</c:v>
                </c:pt>
                <c:pt idx="28">
                  <c:v>108.12754152528272</c:v>
                </c:pt>
                <c:pt idx="29">
                  <c:v>108.89176923047161</c:v>
                </c:pt>
                <c:pt idx="30">
                  <c:v>108.99813121718506</c:v>
                </c:pt>
                <c:pt idx="31">
                  <c:v>110.26046885942343</c:v>
                </c:pt>
                <c:pt idx="32">
                  <c:v>110.00688702569479</c:v>
                </c:pt>
                <c:pt idx="33">
                  <c:v>107.95157414966512</c:v>
                </c:pt>
                <c:pt idx="34">
                  <c:v>109.67785743856811</c:v>
                </c:pt>
                <c:pt idx="35">
                  <c:v>109.21789698092914</c:v>
                </c:pt>
                <c:pt idx="36">
                  <c:v>110.32415450152249</c:v>
                </c:pt>
                <c:pt idx="37">
                  <c:v>110.77246892132926</c:v>
                </c:pt>
                <c:pt idx="38">
                  <c:v>111.49359467919228</c:v>
                </c:pt>
                <c:pt idx="39">
                  <c:v>112.04687820411132</c:v>
                </c:pt>
                <c:pt idx="40">
                  <c:v>111.32242500686769</c:v>
                </c:pt>
                <c:pt idx="41">
                  <c:v>111.26585853739692</c:v>
                </c:pt>
                <c:pt idx="42">
                  <c:v>110.78508223805119</c:v>
                </c:pt>
                <c:pt idx="43">
                  <c:v>111.47761523193411</c:v>
                </c:pt>
                <c:pt idx="44">
                  <c:v>112.04800024762341</c:v>
                </c:pt>
                <c:pt idx="45">
                  <c:v>112.05577716989671</c:v>
                </c:pt>
                <c:pt idx="46">
                  <c:v>112.34982995237117</c:v>
                </c:pt>
                <c:pt idx="47">
                  <c:v>111.35101777084778</c:v>
                </c:pt>
                <c:pt idx="48">
                  <c:v>109.2190190244412</c:v>
                </c:pt>
                <c:pt idx="49">
                  <c:v>110.28256150926458</c:v>
                </c:pt>
                <c:pt idx="50">
                  <c:v>111.89818809318378</c:v>
                </c:pt>
                <c:pt idx="51">
                  <c:v>111.45935300649626</c:v>
                </c:pt>
                <c:pt idx="52">
                  <c:v>111.62936194415319</c:v>
                </c:pt>
                <c:pt idx="53">
                  <c:v>112.2517865641093</c:v>
                </c:pt>
                <c:pt idx="54">
                  <c:v>113.78685816209271</c:v>
                </c:pt>
                <c:pt idx="55">
                  <c:v>114.00844241014944</c:v>
                </c:pt>
                <c:pt idx="56">
                  <c:v>113.44622122828942</c:v>
                </c:pt>
                <c:pt idx="57">
                  <c:v>112.48122511675057</c:v>
                </c:pt>
                <c:pt idx="58">
                  <c:v>112.64295414711152</c:v>
                </c:pt>
                <c:pt idx="59">
                  <c:v>110.36013727622003</c:v>
                </c:pt>
                <c:pt idx="60">
                  <c:v>110.52867594996458</c:v>
                </c:pt>
                <c:pt idx="61">
                  <c:v>111.15291905423339</c:v>
                </c:pt>
                <c:pt idx="62">
                  <c:v>111.33461272087813</c:v>
                </c:pt>
                <c:pt idx="63">
                  <c:v>112.40306898246131</c:v>
                </c:pt>
                <c:pt idx="64">
                  <c:v>114.3788715337561</c:v>
                </c:pt>
                <c:pt idx="65">
                  <c:v>114.62127162351956</c:v>
                </c:pt>
                <c:pt idx="66">
                  <c:v>116.02080810347562</c:v>
                </c:pt>
                <c:pt idx="67">
                  <c:v>115.82708148744278</c:v>
                </c:pt>
                <c:pt idx="68">
                  <c:v>115.82708148744278</c:v>
                </c:pt>
                <c:pt idx="69">
                  <c:v>116.37196903159908</c:v>
                </c:pt>
                <c:pt idx="70">
                  <c:v>116.68281377559904</c:v>
                </c:pt>
                <c:pt idx="71">
                  <c:v>116.53605822245092</c:v>
                </c:pt>
                <c:pt idx="72">
                  <c:v>115.45228026325462</c:v>
                </c:pt>
                <c:pt idx="73">
                  <c:v>115.72431777819907</c:v>
                </c:pt>
                <c:pt idx="74">
                  <c:v>115.34112057324816</c:v>
                </c:pt>
                <c:pt idx="75">
                  <c:v>116.57594880386293</c:v>
                </c:pt>
                <c:pt idx="76">
                  <c:v>116.55586809411236</c:v>
                </c:pt>
                <c:pt idx="77">
                  <c:v>115.93131546059885</c:v>
                </c:pt>
                <c:pt idx="78">
                  <c:v>115.93131546059885</c:v>
                </c:pt>
                <c:pt idx="79">
                  <c:v>115.93131546059885</c:v>
                </c:pt>
                <c:pt idx="80">
                  <c:v>115.93123807828769</c:v>
                </c:pt>
                <c:pt idx="81">
                  <c:v>115.32220059816527</c:v>
                </c:pt>
                <c:pt idx="82">
                  <c:v>114.33159094162664</c:v>
                </c:pt>
                <c:pt idx="83">
                  <c:v>114.5452048116321</c:v>
                </c:pt>
                <c:pt idx="84">
                  <c:v>115.65873626947617</c:v>
                </c:pt>
                <c:pt idx="85">
                  <c:v>114.90928858572218</c:v>
                </c:pt>
                <c:pt idx="86">
                  <c:v>114.90928858572218</c:v>
                </c:pt>
                <c:pt idx="87">
                  <c:v>115.85749273573553</c:v>
                </c:pt>
                <c:pt idx="88">
                  <c:v>116.3889931400581</c:v>
                </c:pt>
                <c:pt idx="89">
                  <c:v>113.01616903392053</c:v>
                </c:pt>
                <c:pt idx="90">
                  <c:v>113.60891753754009</c:v>
                </c:pt>
                <c:pt idx="91">
                  <c:v>112.21673237714592</c:v>
                </c:pt>
                <c:pt idx="92">
                  <c:v>109.53880142538218</c:v>
                </c:pt>
                <c:pt idx="93">
                  <c:v>110.46417779359817</c:v>
                </c:pt>
                <c:pt idx="94">
                  <c:v>110.46417779359817</c:v>
                </c:pt>
                <c:pt idx="95">
                  <c:v>108.80734512897696</c:v>
                </c:pt>
                <c:pt idx="96">
                  <c:v>109.37490569030825</c:v>
                </c:pt>
                <c:pt idx="97">
                  <c:v>109.3995132652627</c:v>
                </c:pt>
                <c:pt idx="98">
                  <c:v>108.12808320146097</c:v>
                </c:pt>
                <c:pt idx="99">
                  <c:v>107.51347419493378</c:v>
                </c:pt>
                <c:pt idx="100">
                  <c:v>107.00905759952333</c:v>
                </c:pt>
                <c:pt idx="101">
                  <c:v>107.19748352724051</c:v>
                </c:pt>
                <c:pt idx="102">
                  <c:v>105.49967692885083</c:v>
                </c:pt>
                <c:pt idx="103">
                  <c:v>105.83551615936113</c:v>
                </c:pt>
                <c:pt idx="104">
                  <c:v>105.58077359096485</c:v>
                </c:pt>
                <c:pt idx="105">
                  <c:v>105.97820914117241</c:v>
                </c:pt>
                <c:pt idx="106">
                  <c:v>105.37810931799099</c:v>
                </c:pt>
                <c:pt idx="107">
                  <c:v>104.91060408501221</c:v>
                </c:pt>
                <c:pt idx="108">
                  <c:v>104.08342586968044</c:v>
                </c:pt>
                <c:pt idx="109">
                  <c:v>104.05545216418979</c:v>
                </c:pt>
                <c:pt idx="110">
                  <c:v>103.54341341112836</c:v>
                </c:pt>
                <c:pt idx="111">
                  <c:v>104.0615653667728</c:v>
                </c:pt>
                <c:pt idx="112">
                  <c:v>104.33178439740458</c:v>
                </c:pt>
                <c:pt idx="113">
                  <c:v>104.33178439740458</c:v>
                </c:pt>
                <c:pt idx="114">
                  <c:v>106.70494511659578</c:v>
                </c:pt>
                <c:pt idx="115">
                  <c:v>107.52016776485063</c:v>
                </c:pt>
                <c:pt idx="116">
                  <c:v>105.6595874748991</c:v>
                </c:pt>
                <c:pt idx="117">
                  <c:v>105.60638713596458</c:v>
                </c:pt>
                <c:pt idx="118">
                  <c:v>104.92402991600149</c:v>
                </c:pt>
                <c:pt idx="119">
                  <c:v>105.34502837996263</c:v>
                </c:pt>
                <c:pt idx="120">
                  <c:v>106.39591885690849</c:v>
                </c:pt>
                <c:pt idx="121">
                  <c:v>109.11733866755398</c:v>
                </c:pt>
                <c:pt idx="122">
                  <c:v>110.46491292555433</c:v>
                </c:pt>
                <c:pt idx="123">
                  <c:v>110.1680743798775</c:v>
                </c:pt>
                <c:pt idx="124">
                  <c:v>110.32009193018568</c:v>
                </c:pt>
                <c:pt idx="125">
                  <c:v>109.05481376012256</c:v>
                </c:pt>
                <c:pt idx="126">
                  <c:v>109.19410192024203</c:v>
                </c:pt>
                <c:pt idx="127">
                  <c:v>110.73958143907883</c:v>
                </c:pt>
                <c:pt idx="128">
                  <c:v>110.43469513303954</c:v>
                </c:pt>
                <c:pt idx="129">
                  <c:v>110.43469513303954</c:v>
                </c:pt>
                <c:pt idx="130">
                  <c:v>111.72287846721119</c:v>
                </c:pt>
                <c:pt idx="131">
                  <c:v>111.64387112749895</c:v>
                </c:pt>
                <c:pt idx="132">
                  <c:v>111.41416173676859</c:v>
                </c:pt>
                <c:pt idx="133">
                  <c:v>111.33314245696577</c:v>
                </c:pt>
                <c:pt idx="134">
                  <c:v>109.61858258820615</c:v>
                </c:pt>
                <c:pt idx="135">
                  <c:v>108.78513640566902</c:v>
                </c:pt>
                <c:pt idx="136">
                  <c:v>109.12720491222912</c:v>
                </c:pt>
                <c:pt idx="137">
                  <c:v>110.00591974680506</c:v>
                </c:pt>
                <c:pt idx="138">
                  <c:v>110.15998792835946</c:v>
                </c:pt>
                <c:pt idx="139">
                  <c:v>110.48213048979134</c:v>
                </c:pt>
                <c:pt idx="140">
                  <c:v>110.73261703107286</c:v>
                </c:pt>
                <c:pt idx="141">
                  <c:v>110.63027892454062</c:v>
                </c:pt>
                <c:pt idx="142">
                  <c:v>110.12145153739306</c:v>
                </c:pt>
                <c:pt idx="143">
                  <c:v>111.29665669724558</c:v>
                </c:pt>
                <c:pt idx="144">
                  <c:v>109.77168349087081</c:v>
                </c:pt>
                <c:pt idx="145">
                  <c:v>110.14010067438684</c:v>
                </c:pt>
                <c:pt idx="146">
                  <c:v>110.36280696595566</c:v>
                </c:pt>
                <c:pt idx="147">
                  <c:v>110.63465102512215</c:v>
                </c:pt>
                <c:pt idx="148">
                  <c:v>109.87413767086981</c:v>
                </c:pt>
                <c:pt idx="149">
                  <c:v>108.74694823510293</c:v>
                </c:pt>
                <c:pt idx="150">
                  <c:v>108.90206107785821</c:v>
                </c:pt>
                <c:pt idx="151">
                  <c:v>107.47532471552329</c:v>
                </c:pt>
                <c:pt idx="152">
                  <c:v>106.65487876126396</c:v>
                </c:pt>
                <c:pt idx="153">
                  <c:v>104.15109670080516</c:v>
                </c:pt>
                <c:pt idx="154">
                  <c:v>101.18247909710318</c:v>
                </c:pt>
                <c:pt idx="155">
                  <c:v>100.50507434505546</c:v>
                </c:pt>
                <c:pt idx="156">
                  <c:v>100.58551325752445</c:v>
                </c:pt>
                <c:pt idx="157">
                  <c:v>101.06427761677959</c:v>
                </c:pt>
                <c:pt idx="158">
                  <c:v>100.36214921631064</c:v>
                </c:pt>
                <c:pt idx="159">
                  <c:v>99.918825955574817</c:v>
                </c:pt>
                <c:pt idx="160">
                  <c:v>97.816271178571284</c:v>
                </c:pt>
                <c:pt idx="161">
                  <c:v>97.897445222996467</c:v>
                </c:pt>
                <c:pt idx="162">
                  <c:v>98.644880966659827</c:v>
                </c:pt>
                <c:pt idx="163">
                  <c:v>99.568670997496696</c:v>
                </c:pt>
                <c:pt idx="164">
                  <c:v>101.72616721543622</c:v>
                </c:pt>
                <c:pt idx="165">
                  <c:v>101.49285954723611</c:v>
                </c:pt>
                <c:pt idx="166">
                  <c:v>101.64182049625276</c:v>
                </c:pt>
                <c:pt idx="167">
                  <c:v>100.78550784076268</c:v>
                </c:pt>
                <c:pt idx="168">
                  <c:v>101.29085302390727</c:v>
                </c:pt>
                <c:pt idx="169">
                  <c:v>99.360164360028946</c:v>
                </c:pt>
                <c:pt idx="170">
                  <c:v>99.29725254104163</c:v>
                </c:pt>
                <c:pt idx="171">
                  <c:v>99.109252216035941</c:v>
                </c:pt>
                <c:pt idx="172">
                  <c:v>99.449811767528061</c:v>
                </c:pt>
                <c:pt idx="173">
                  <c:v>99.531953090842961</c:v>
                </c:pt>
                <c:pt idx="174">
                  <c:v>99.15208332527267</c:v>
                </c:pt>
                <c:pt idx="175">
                  <c:v>98.770201619611768</c:v>
                </c:pt>
                <c:pt idx="176">
                  <c:v>102.62144186460415</c:v>
                </c:pt>
                <c:pt idx="177">
                  <c:v>102.59164967480083</c:v>
                </c:pt>
                <c:pt idx="178">
                  <c:v>103.26963479418238</c:v>
                </c:pt>
                <c:pt idx="179">
                  <c:v>103.23341987255135</c:v>
                </c:pt>
                <c:pt idx="180">
                  <c:v>103.24224145602557</c:v>
                </c:pt>
                <c:pt idx="181">
                  <c:v>105.08154161040328</c:v>
                </c:pt>
                <c:pt idx="182">
                  <c:v>104.80517068603288</c:v>
                </c:pt>
                <c:pt idx="183">
                  <c:v>105.83071845606813</c:v>
                </c:pt>
                <c:pt idx="184">
                  <c:v>104.94801843246653</c:v>
                </c:pt>
                <c:pt idx="185">
                  <c:v>103.65453440997922</c:v>
                </c:pt>
                <c:pt idx="186">
                  <c:v>103.51478195599266</c:v>
                </c:pt>
                <c:pt idx="187">
                  <c:v>102.41142627206847</c:v>
                </c:pt>
                <c:pt idx="188">
                  <c:v>102.28266210626913</c:v>
                </c:pt>
                <c:pt idx="189">
                  <c:v>101.45749583102798</c:v>
                </c:pt>
                <c:pt idx="190">
                  <c:v>101.68422600277802</c:v>
                </c:pt>
                <c:pt idx="191">
                  <c:v>100.38555736544184</c:v>
                </c:pt>
                <c:pt idx="192">
                  <c:v>100.75923654611792</c:v>
                </c:pt>
                <c:pt idx="193">
                  <c:v>100.42215919862878</c:v>
                </c:pt>
                <c:pt idx="194">
                  <c:v>100.95400782335166</c:v>
                </c:pt>
              </c:numCache>
            </c:numRef>
          </c:val>
          <c:smooth val="0"/>
        </c:ser>
        <c:ser>
          <c:idx val="5"/>
          <c:order val="5"/>
          <c:tx>
            <c:strRef>
              <c:f>Index_Charts!$G$1</c:f>
              <c:strCache>
                <c:ptCount val="1"/>
                <c:pt idx="0">
                  <c:v>NIKKEI 225</c:v>
                </c:pt>
              </c:strCache>
            </c:strRef>
          </c:tx>
          <c:spPr>
            <a:ln w="28575" cap="rnd">
              <a:solidFill>
                <a:schemeClr val="accent6"/>
              </a:solidFill>
              <a:round/>
            </a:ln>
            <a:effectLst/>
          </c:spPr>
          <c:marker>
            <c:symbol val="none"/>
          </c:marker>
          <c:cat>
            <c:numRef>
              <c:f>Index_Charts!$A$250:$A$444</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Index_Charts!$G$250:$G$444</c:f>
              <c:numCache>
                <c:formatCode>0.00</c:formatCode>
                <c:ptCount val="195"/>
                <c:pt idx="0">
                  <c:v>100</c:v>
                </c:pt>
                <c:pt idx="1">
                  <c:v>100</c:v>
                </c:pt>
                <c:pt idx="2">
                  <c:v>100</c:v>
                </c:pt>
                <c:pt idx="3">
                  <c:v>97.737620767063518</c:v>
                </c:pt>
                <c:pt idx="4">
                  <c:v>100.12091070744256</c:v>
                </c:pt>
                <c:pt idx="5">
                  <c:v>100.9456516362666</c:v>
                </c:pt>
                <c:pt idx="6">
                  <c:v>102.05992874262357</c:v>
                </c:pt>
                <c:pt idx="7">
                  <c:v>100.74460011281667</c:v>
                </c:pt>
                <c:pt idx="8">
                  <c:v>101.72337728587438</c:v>
                </c:pt>
                <c:pt idx="9">
                  <c:v>101.72337728587438</c:v>
                </c:pt>
                <c:pt idx="10">
                  <c:v>102.70060560276235</c:v>
                </c:pt>
                <c:pt idx="11">
                  <c:v>102.13832085005224</c:v>
                </c:pt>
                <c:pt idx="12">
                  <c:v>101.93607021214832</c:v>
                </c:pt>
                <c:pt idx="13">
                  <c:v>103.25409684947667</c:v>
                </c:pt>
                <c:pt idx="14">
                  <c:v>103.52020033205478</c:v>
                </c:pt>
                <c:pt idx="15">
                  <c:v>103.03845610017002</c:v>
                </c:pt>
                <c:pt idx="16">
                  <c:v>102.89261380470522</c:v>
                </c:pt>
                <c:pt idx="17">
                  <c:v>102.79723424251191</c:v>
                </c:pt>
                <c:pt idx="18">
                  <c:v>103.79115023555106</c:v>
                </c:pt>
                <c:pt idx="19">
                  <c:v>103.16880983393763</c:v>
                </c:pt>
                <c:pt idx="20">
                  <c:v>103.24695212585505</c:v>
                </c:pt>
                <c:pt idx="21">
                  <c:v>102.70685099054349</c:v>
                </c:pt>
                <c:pt idx="22">
                  <c:v>103.79080049383531</c:v>
                </c:pt>
                <c:pt idx="23">
                  <c:v>103.86524551618631</c:v>
                </c:pt>
                <c:pt idx="24">
                  <c:v>104.34179358543716</c:v>
                </c:pt>
                <c:pt idx="25">
                  <c:v>104.14533866739413</c:v>
                </c:pt>
                <c:pt idx="26">
                  <c:v>104.29327941315339</c:v>
                </c:pt>
                <c:pt idx="27">
                  <c:v>103.67983244374028</c:v>
                </c:pt>
                <c:pt idx="28">
                  <c:v>101.5908251756078</c:v>
                </c:pt>
                <c:pt idx="29">
                  <c:v>101.5908251756078</c:v>
                </c:pt>
                <c:pt idx="30">
                  <c:v>104.24406575743812</c:v>
                </c:pt>
                <c:pt idx="31">
                  <c:v>105.64438162417053</c:v>
                </c:pt>
                <c:pt idx="32">
                  <c:v>105.62054922439779</c:v>
                </c:pt>
                <c:pt idx="33">
                  <c:v>104.42603137582896</c:v>
                </c:pt>
                <c:pt idx="34">
                  <c:v>106.33072475976491</c:v>
                </c:pt>
                <c:pt idx="35">
                  <c:v>106.43464801244282</c:v>
                </c:pt>
                <c:pt idx="36">
                  <c:v>107.07837262181879</c:v>
                </c:pt>
                <c:pt idx="37">
                  <c:v>107.24195181858198</c:v>
                </c:pt>
                <c:pt idx="38">
                  <c:v>107.04849468667388</c:v>
                </c:pt>
                <c:pt idx="39">
                  <c:v>107.5617156729755</c:v>
                </c:pt>
                <c:pt idx="40">
                  <c:v>107.16780657484448</c:v>
                </c:pt>
                <c:pt idx="41">
                  <c:v>107.70301132613565</c:v>
                </c:pt>
                <c:pt idx="42">
                  <c:v>106.84689356909922</c:v>
                </c:pt>
                <c:pt idx="43">
                  <c:v>107.93374093232147</c:v>
                </c:pt>
                <c:pt idx="44">
                  <c:v>109.02968158015305</c:v>
                </c:pt>
                <c:pt idx="45">
                  <c:v>108.55123491301673</c:v>
                </c:pt>
                <c:pt idx="46">
                  <c:v>107.90436262819907</c:v>
                </c:pt>
                <c:pt idx="47">
                  <c:v>107.2008821485333</c:v>
                </c:pt>
                <c:pt idx="48">
                  <c:v>105.05022041222558</c:v>
                </c:pt>
                <c:pt idx="49">
                  <c:v>105.54750316890976</c:v>
                </c:pt>
                <c:pt idx="50">
                  <c:v>107.43910622005647</c:v>
                </c:pt>
                <c:pt idx="51">
                  <c:v>106.37264380255182</c:v>
                </c:pt>
                <c:pt idx="52">
                  <c:v>106.35655568362765</c:v>
                </c:pt>
                <c:pt idx="53">
                  <c:v>107.17510118777282</c:v>
                </c:pt>
                <c:pt idx="54">
                  <c:v>107.84285804933056</c:v>
                </c:pt>
                <c:pt idx="55">
                  <c:v>107.75467317386109</c:v>
                </c:pt>
                <c:pt idx="56">
                  <c:v>107.96486794502258</c:v>
                </c:pt>
                <c:pt idx="57">
                  <c:v>107.96486794502258</c:v>
                </c:pt>
                <c:pt idx="58">
                  <c:v>108.05689997936523</c:v>
                </c:pt>
                <c:pt idx="59">
                  <c:v>104.80814918182921</c:v>
                </c:pt>
                <c:pt idx="60">
                  <c:v>107.06288406012159</c:v>
                </c:pt>
                <c:pt idx="61">
                  <c:v>106.8147672943531</c:v>
                </c:pt>
                <c:pt idx="62">
                  <c:v>105.09119015606973</c:v>
                </c:pt>
                <c:pt idx="63">
                  <c:v>105.95080533026359</c:v>
                </c:pt>
                <c:pt idx="64">
                  <c:v>107.46578651665743</c:v>
                </c:pt>
                <c:pt idx="65">
                  <c:v>107.44720024262082</c:v>
                </c:pt>
                <c:pt idx="66">
                  <c:v>108.48593313837731</c:v>
                </c:pt>
                <c:pt idx="67">
                  <c:v>108.54458982041761</c:v>
                </c:pt>
                <c:pt idx="68">
                  <c:v>108.95703522948304</c:v>
                </c:pt>
                <c:pt idx="69">
                  <c:v>108.72795440567143</c:v>
                </c:pt>
                <c:pt idx="70">
                  <c:v>108.93250334627878</c:v>
                </c:pt>
                <c:pt idx="71">
                  <c:v>108.35782774421089</c:v>
                </c:pt>
                <c:pt idx="72">
                  <c:v>108.47678989066574</c:v>
                </c:pt>
                <c:pt idx="73">
                  <c:v>109.27210255226515</c:v>
                </c:pt>
                <c:pt idx="74">
                  <c:v>110.76375096990871</c:v>
                </c:pt>
                <c:pt idx="75">
                  <c:v>111.02630707222716</c:v>
                </c:pt>
                <c:pt idx="76">
                  <c:v>111.30764930099122</c:v>
                </c:pt>
                <c:pt idx="77">
                  <c:v>110.36909242524395</c:v>
                </c:pt>
                <c:pt idx="78">
                  <c:v>110.9208849264818</c:v>
                </c:pt>
                <c:pt idx="79">
                  <c:v>111.00752094578155</c:v>
                </c:pt>
                <c:pt idx="80">
                  <c:v>111.21656656559131</c:v>
                </c:pt>
                <c:pt idx="81">
                  <c:v>110.91808699275585</c:v>
                </c:pt>
                <c:pt idx="82">
                  <c:v>111.45559004675047</c:v>
                </c:pt>
                <c:pt idx="83">
                  <c:v>111.21152029226415</c:v>
                </c:pt>
                <c:pt idx="84">
                  <c:v>111.21152029226415</c:v>
                </c:pt>
                <c:pt idx="85">
                  <c:v>111.21152029226415</c:v>
                </c:pt>
                <c:pt idx="86">
                  <c:v>111.21152029226415</c:v>
                </c:pt>
                <c:pt idx="87">
                  <c:v>111.21152029226415</c:v>
                </c:pt>
                <c:pt idx="88">
                  <c:v>111.21152029226415</c:v>
                </c:pt>
                <c:pt idx="89">
                  <c:v>111.21152029226415</c:v>
                </c:pt>
                <c:pt idx="90">
                  <c:v>109.53770640382079</c:v>
                </c:pt>
                <c:pt idx="91">
                  <c:v>107.93324130129901</c:v>
                </c:pt>
                <c:pt idx="92">
                  <c:v>106.93168095361575</c:v>
                </c:pt>
                <c:pt idx="93">
                  <c:v>106.64584204564929</c:v>
                </c:pt>
                <c:pt idx="94">
                  <c:v>105.87820894269582</c:v>
                </c:pt>
                <c:pt idx="95">
                  <c:v>105.2584166592971</c:v>
                </c:pt>
                <c:pt idx="96">
                  <c:v>105.86461897888411</c:v>
                </c:pt>
                <c:pt idx="97">
                  <c:v>105.23718234084127</c:v>
                </c:pt>
                <c:pt idx="98">
                  <c:v>106.17204194702212</c:v>
                </c:pt>
                <c:pt idx="99">
                  <c:v>106.4300514070359</c:v>
                </c:pt>
                <c:pt idx="100">
                  <c:v>106.28375944365087</c:v>
                </c:pt>
                <c:pt idx="101">
                  <c:v>106.33831915130676</c:v>
                </c:pt>
                <c:pt idx="102">
                  <c:v>105.67765705026837</c:v>
                </c:pt>
                <c:pt idx="103">
                  <c:v>105.5081822074398</c:v>
                </c:pt>
                <c:pt idx="104">
                  <c:v>105.8347410437392</c:v>
                </c:pt>
                <c:pt idx="105">
                  <c:v>106.22225486478236</c:v>
                </c:pt>
                <c:pt idx="106">
                  <c:v>104.93935228833506</c:v>
                </c:pt>
                <c:pt idx="107">
                  <c:v>104.63537677425221</c:v>
                </c:pt>
                <c:pt idx="108">
                  <c:v>102.92993624208522</c:v>
                </c:pt>
                <c:pt idx="109">
                  <c:v>101.97908844318471</c:v>
                </c:pt>
                <c:pt idx="110">
                  <c:v>101.96739707725844</c:v>
                </c:pt>
                <c:pt idx="111">
                  <c:v>103.80384086352228</c:v>
                </c:pt>
                <c:pt idx="112">
                  <c:v>103.79354846445901</c:v>
                </c:pt>
                <c:pt idx="113">
                  <c:v>104.34649011704855</c:v>
                </c:pt>
                <c:pt idx="114">
                  <c:v>105.59411874330806</c:v>
                </c:pt>
                <c:pt idx="115">
                  <c:v>105.94316097561949</c:v>
                </c:pt>
                <c:pt idx="116">
                  <c:v>105.57063608525104</c:v>
                </c:pt>
                <c:pt idx="117">
                  <c:v>105.08239665007393</c:v>
                </c:pt>
                <c:pt idx="118">
                  <c:v>105.50653342506557</c:v>
                </c:pt>
                <c:pt idx="119">
                  <c:v>105.54205719076461</c:v>
                </c:pt>
                <c:pt idx="120">
                  <c:v>104.78616541683965</c:v>
                </c:pt>
                <c:pt idx="121">
                  <c:v>106.59063281766414</c:v>
                </c:pt>
                <c:pt idx="122">
                  <c:v>107.23510687357387</c:v>
                </c:pt>
                <c:pt idx="123">
                  <c:v>106.214760399445</c:v>
                </c:pt>
                <c:pt idx="124">
                  <c:v>106.35140948409601</c:v>
                </c:pt>
                <c:pt idx="125">
                  <c:v>105.8908496075648</c:v>
                </c:pt>
                <c:pt idx="126">
                  <c:v>105.35514522525116</c:v>
                </c:pt>
                <c:pt idx="127">
                  <c:v>106.61211695163122</c:v>
                </c:pt>
                <c:pt idx="128">
                  <c:v>106.30109664013125</c:v>
                </c:pt>
                <c:pt idx="129">
                  <c:v>108.56967129774662</c:v>
                </c:pt>
                <c:pt idx="130">
                  <c:v>108.69108163621166</c:v>
                </c:pt>
                <c:pt idx="131">
                  <c:v>108.11096005599865</c:v>
                </c:pt>
                <c:pt idx="132">
                  <c:v>108.4321728403574</c:v>
                </c:pt>
                <c:pt idx="133">
                  <c:v>108.65166074853721</c:v>
                </c:pt>
                <c:pt idx="134">
                  <c:v>107.59229309155187</c:v>
                </c:pt>
                <c:pt idx="135">
                  <c:v>107.74617944647878</c:v>
                </c:pt>
                <c:pt idx="136">
                  <c:v>107.58794630165622</c:v>
                </c:pt>
                <c:pt idx="137">
                  <c:v>108.13779024190634</c:v>
                </c:pt>
                <c:pt idx="138">
                  <c:v>108.34948390613532</c:v>
                </c:pt>
                <c:pt idx="139">
                  <c:v>108.34948390613532</c:v>
                </c:pt>
                <c:pt idx="140">
                  <c:v>107.59678977075428</c:v>
                </c:pt>
                <c:pt idx="141">
                  <c:v>107.26668355419523</c:v>
                </c:pt>
                <c:pt idx="142">
                  <c:v>105.15354410767648</c:v>
                </c:pt>
                <c:pt idx="143">
                  <c:v>107.25574163480272</c:v>
                </c:pt>
                <c:pt idx="144">
                  <c:v>107.00492686151277</c:v>
                </c:pt>
                <c:pt idx="145">
                  <c:v>108.0246238153124</c:v>
                </c:pt>
                <c:pt idx="146">
                  <c:v>108.46774656915868</c:v>
                </c:pt>
                <c:pt idx="147">
                  <c:v>108.70247322352442</c:v>
                </c:pt>
                <c:pt idx="148">
                  <c:v>108.21083629739438</c:v>
                </c:pt>
                <c:pt idx="149">
                  <c:v>108.0042388695948</c:v>
                </c:pt>
                <c:pt idx="150">
                  <c:v>108.46644752850021</c:v>
                </c:pt>
                <c:pt idx="151">
                  <c:v>107.52824039446867</c:v>
                </c:pt>
                <c:pt idx="152">
                  <c:v>107.62546859144521</c:v>
                </c:pt>
                <c:pt idx="153">
                  <c:v>105.35799312207934</c:v>
                </c:pt>
                <c:pt idx="154">
                  <c:v>103.52499678987068</c:v>
                </c:pt>
                <c:pt idx="155">
                  <c:v>102.85059483571384</c:v>
                </c:pt>
                <c:pt idx="156">
                  <c:v>102.50709850775203</c:v>
                </c:pt>
                <c:pt idx="157">
                  <c:v>102.89076516992199</c:v>
                </c:pt>
                <c:pt idx="158">
                  <c:v>103.34777766619352</c:v>
                </c:pt>
                <c:pt idx="159">
                  <c:v>103.34777766619352</c:v>
                </c:pt>
                <c:pt idx="160">
                  <c:v>102.20172402680619</c:v>
                </c:pt>
                <c:pt idx="161">
                  <c:v>103.19943721561626</c:v>
                </c:pt>
                <c:pt idx="162">
                  <c:v>101.9529577407085</c:v>
                </c:pt>
                <c:pt idx="163">
                  <c:v>102.01870918326816</c:v>
                </c:pt>
                <c:pt idx="164">
                  <c:v>102.73992656423232</c:v>
                </c:pt>
                <c:pt idx="165">
                  <c:v>103.30980570848429</c:v>
                </c:pt>
                <c:pt idx="166">
                  <c:v>103.01677211379396</c:v>
                </c:pt>
                <c:pt idx="167">
                  <c:v>103.063937282317</c:v>
                </c:pt>
                <c:pt idx="168">
                  <c:v>103.47813139996111</c:v>
                </c:pt>
                <c:pt idx="169">
                  <c:v>101.23044131908586</c:v>
                </c:pt>
                <c:pt idx="170">
                  <c:v>102.20492166535013</c:v>
                </c:pt>
                <c:pt idx="171">
                  <c:v>102.32153554599928</c:v>
                </c:pt>
                <c:pt idx="172">
                  <c:v>102.22915376994091</c:v>
                </c:pt>
                <c:pt idx="173">
                  <c:v>103.44545553109027</c:v>
                </c:pt>
                <c:pt idx="174">
                  <c:v>103.02486613635828</c:v>
                </c:pt>
                <c:pt idx="175">
                  <c:v>103.04969779817606</c:v>
                </c:pt>
                <c:pt idx="176">
                  <c:v>103.16950931736912</c:v>
                </c:pt>
                <c:pt idx="177">
                  <c:v>105.35189762360496</c:v>
                </c:pt>
                <c:pt idx="178">
                  <c:v>105.91962835446023</c:v>
                </c:pt>
                <c:pt idx="179">
                  <c:v>106.51343982468946</c:v>
                </c:pt>
                <c:pt idx="180">
                  <c:v>106.88156796206</c:v>
                </c:pt>
                <c:pt idx="181">
                  <c:v>107.90910912291271</c:v>
                </c:pt>
                <c:pt idx="182">
                  <c:v>108.71776193281262</c:v>
                </c:pt>
                <c:pt idx="183">
                  <c:v>109.86031815504251</c:v>
                </c:pt>
                <c:pt idx="184">
                  <c:v>109.86031815504251</c:v>
                </c:pt>
                <c:pt idx="185">
                  <c:v>109.92542007727293</c:v>
                </c:pt>
                <c:pt idx="186">
                  <c:v>109.72251991903978</c:v>
                </c:pt>
                <c:pt idx="187">
                  <c:v>110.14091093727284</c:v>
                </c:pt>
                <c:pt idx="188">
                  <c:v>110.31398312346332</c:v>
                </c:pt>
                <c:pt idx="189">
                  <c:v>110.31398312346332</c:v>
                </c:pt>
                <c:pt idx="190">
                  <c:v>110.41266025040508</c:v>
                </c:pt>
                <c:pt idx="191">
                  <c:v>110.01950059880778</c:v>
                </c:pt>
                <c:pt idx="192">
                  <c:v>110.15984695302518</c:v>
                </c:pt>
                <c:pt idx="193">
                  <c:v>109.31377177954083</c:v>
                </c:pt>
                <c:pt idx="194">
                  <c:v>108.69892584326475</c:v>
                </c:pt>
              </c:numCache>
            </c:numRef>
          </c:val>
          <c:smooth val="0"/>
        </c:ser>
        <c:ser>
          <c:idx val="6"/>
          <c:order val="6"/>
          <c:tx>
            <c:strRef>
              <c:f>Index_Charts!$H$1</c:f>
              <c:strCache>
                <c:ptCount val="1"/>
                <c:pt idx="0">
                  <c:v>MSCI Developed Market Index</c:v>
                </c:pt>
              </c:strCache>
            </c:strRef>
          </c:tx>
          <c:spPr>
            <a:ln w="28575" cap="rnd">
              <a:solidFill>
                <a:schemeClr val="accent1">
                  <a:lumMod val="60000"/>
                </a:schemeClr>
              </a:solidFill>
              <a:round/>
            </a:ln>
            <a:effectLst/>
          </c:spPr>
          <c:marker>
            <c:symbol val="none"/>
          </c:marker>
          <c:cat>
            <c:numRef>
              <c:f>Index_Charts!$A$250:$A$444</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Index_Charts!$H$250:$H$444</c:f>
              <c:numCache>
                <c:formatCode>0.00</c:formatCode>
                <c:ptCount val="195"/>
                <c:pt idx="0">
                  <c:v>100.00159244121238</c:v>
                </c:pt>
                <c:pt idx="1">
                  <c:v>99.854026222198627</c:v>
                </c:pt>
                <c:pt idx="2">
                  <c:v>98.369340198524341</c:v>
                </c:pt>
                <c:pt idx="3">
                  <c:v>101.0764902595679</c:v>
                </c:pt>
                <c:pt idx="4">
                  <c:v>101.90296724879239</c:v>
                </c:pt>
                <c:pt idx="5">
                  <c:v>102.75439248367748</c:v>
                </c:pt>
                <c:pt idx="6">
                  <c:v>103.56069855087848</c:v>
                </c:pt>
                <c:pt idx="7">
                  <c:v>103.91687456871384</c:v>
                </c:pt>
                <c:pt idx="8">
                  <c:v>103.88927225436595</c:v>
                </c:pt>
                <c:pt idx="9">
                  <c:v>103.41100907691492</c:v>
                </c:pt>
                <c:pt idx="10">
                  <c:v>104.23111630128987</c:v>
                </c:pt>
                <c:pt idx="11">
                  <c:v>104.38452147141568</c:v>
                </c:pt>
                <c:pt idx="12">
                  <c:v>104.86809278624129</c:v>
                </c:pt>
                <c:pt idx="13">
                  <c:v>106.20308933595201</c:v>
                </c:pt>
                <c:pt idx="14">
                  <c:v>106.20362014968947</c:v>
                </c:pt>
                <c:pt idx="15">
                  <c:v>105.03901480970326</c:v>
                </c:pt>
                <c:pt idx="16">
                  <c:v>105.10855140931048</c:v>
                </c:pt>
                <c:pt idx="17">
                  <c:v>105.27257285418546</c:v>
                </c:pt>
                <c:pt idx="18">
                  <c:v>106.26147884707255</c:v>
                </c:pt>
                <c:pt idx="19">
                  <c:v>105.58840702797387</c:v>
                </c:pt>
                <c:pt idx="20">
                  <c:v>105.61070120494718</c:v>
                </c:pt>
                <c:pt idx="21">
                  <c:v>106.74398853442327</c:v>
                </c:pt>
                <c:pt idx="22">
                  <c:v>107.67503582992728</c:v>
                </c:pt>
                <c:pt idx="23">
                  <c:v>107.73130208609798</c:v>
                </c:pt>
                <c:pt idx="24">
                  <c:v>108.16710016455224</c:v>
                </c:pt>
                <c:pt idx="25">
                  <c:v>108.8890068474972</c:v>
                </c:pt>
                <c:pt idx="26">
                  <c:v>108.66341100907691</c:v>
                </c:pt>
                <c:pt idx="27">
                  <c:v>107.59275970062106</c:v>
                </c:pt>
                <c:pt idx="28">
                  <c:v>107.25250809490949</c:v>
                </c:pt>
                <c:pt idx="29">
                  <c:v>107.30930516481764</c:v>
                </c:pt>
                <c:pt idx="30">
                  <c:v>108.55777907532247</c:v>
                </c:pt>
                <c:pt idx="31">
                  <c:v>108.96332077074156</c:v>
                </c:pt>
                <c:pt idx="32">
                  <c:v>108.68729762726259</c:v>
                </c:pt>
                <c:pt idx="33">
                  <c:v>109.69743616964807</c:v>
                </c:pt>
                <c:pt idx="34">
                  <c:v>110.01751685333616</c:v>
                </c:pt>
                <c:pt idx="35">
                  <c:v>110.19215457296035</c:v>
                </c:pt>
                <c:pt idx="36">
                  <c:v>110.60247359201657</c:v>
                </c:pt>
                <c:pt idx="37">
                  <c:v>110.27336907479166</c:v>
                </c:pt>
                <c:pt idx="38">
                  <c:v>110.77923456659056</c:v>
                </c:pt>
                <c:pt idx="39">
                  <c:v>111.03721004299589</c:v>
                </c:pt>
                <c:pt idx="40">
                  <c:v>111.03030946440893</c:v>
                </c:pt>
                <c:pt idx="41">
                  <c:v>111.05260364138223</c:v>
                </c:pt>
                <c:pt idx="42">
                  <c:v>110.71925261425766</c:v>
                </c:pt>
                <c:pt idx="43">
                  <c:v>111.2771378523276</c:v>
                </c:pt>
                <c:pt idx="44">
                  <c:v>110.9613036785392</c:v>
                </c:pt>
                <c:pt idx="45">
                  <c:v>110.80736769467595</c:v>
                </c:pt>
                <c:pt idx="46">
                  <c:v>110.33972079197409</c:v>
                </c:pt>
                <c:pt idx="47">
                  <c:v>109.42247465364403</c:v>
                </c:pt>
                <c:pt idx="48">
                  <c:v>108.87626731779818</c:v>
                </c:pt>
                <c:pt idx="49">
                  <c:v>110.12580285577789</c:v>
                </c:pt>
                <c:pt idx="50">
                  <c:v>110.58867243484261</c:v>
                </c:pt>
                <c:pt idx="51">
                  <c:v>111.24104251818036</c:v>
                </c:pt>
                <c:pt idx="52">
                  <c:v>111.27554541111525</c:v>
                </c:pt>
                <c:pt idx="53">
                  <c:v>111.9369393279898</c:v>
                </c:pt>
                <c:pt idx="54">
                  <c:v>112.42581878019003</c:v>
                </c:pt>
                <c:pt idx="55">
                  <c:v>112.55533733213015</c:v>
                </c:pt>
                <c:pt idx="56">
                  <c:v>112.11051542013908</c:v>
                </c:pt>
                <c:pt idx="57">
                  <c:v>112.95344763522479</c:v>
                </c:pt>
                <c:pt idx="58">
                  <c:v>111.19539253675885</c:v>
                </c:pt>
                <c:pt idx="59">
                  <c:v>110.7840118902277</c:v>
                </c:pt>
                <c:pt idx="60">
                  <c:v>111.60995806571472</c:v>
                </c:pt>
                <c:pt idx="61">
                  <c:v>111.15345825149954</c:v>
                </c:pt>
                <c:pt idx="62">
                  <c:v>111.21503264504484</c:v>
                </c:pt>
                <c:pt idx="63">
                  <c:v>111.88173469929401</c:v>
                </c:pt>
                <c:pt idx="64">
                  <c:v>113.15834173788417</c:v>
                </c:pt>
                <c:pt idx="65">
                  <c:v>113.1540952279845</c:v>
                </c:pt>
                <c:pt idx="66">
                  <c:v>113.75444556505121</c:v>
                </c:pt>
                <c:pt idx="67">
                  <c:v>113.7401135941398</c:v>
                </c:pt>
                <c:pt idx="68">
                  <c:v>114.11699134773608</c:v>
                </c:pt>
                <c:pt idx="69">
                  <c:v>114.27835872392376</c:v>
                </c:pt>
                <c:pt idx="70">
                  <c:v>113.76400021232548</c:v>
                </c:pt>
                <c:pt idx="71">
                  <c:v>114.01825999256859</c:v>
                </c:pt>
                <c:pt idx="72">
                  <c:v>113.99808907054513</c:v>
                </c:pt>
                <c:pt idx="73">
                  <c:v>114.62338765327245</c:v>
                </c:pt>
                <c:pt idx="74">
                  <c:v>114.71628005732788</c:v>
                </c:pt>
                <c:pt idx="75">
                  <c:v>114.81925792239502</c:v>
                </c:pt>
                <c:pt idx="76">
                  <c:v>114.7056637825787</c:v>
                </c:pt>
                <c:pt idx="77">
                  <c:v>114.66691437974414</c:v>
                </c:pt>
                <c:pt idx="78">
                  <c:v>114.67487658580605</c:v>
                </c:pt>
                <c:pt idx="79">
                  <c:v>114.73963586177609</c:v>
                </c:pt>
                <c:pt idx="80">
                  <c:v>115.41960825946174</c:v>
                </c:pt>
                <c:pt idx="81">
                  <c:v>115.12341419395933</c:v>
                </c:pt>
                <c:pt idx="82">
                  <c:v>114.9402834545358</c:v>
                </c:pt>
                <c:pt idx="83">
                  <c:v>115.38935187642656</c:v>
                </c:pt>
                <c:pt idx="84">
                  <c:v>115.4833059079569</c:v>
                </c:pt>
                <c:pt idx="85">
                  <c:v>115.64679653909442</c:v>
                </c:pt>
                <c:pt idx="86">
                  <c:v>115.1881734699294</c:v>
                </c:pt>
                <c:pt idx="87">
                  <c:v>114.7146876161155</c:v>
                </c:pt>
                <c:pt idx="88">
                  <c:v>115.59902330272307</c:v>
                </c:pt>
                <c:pt idx="89">
                  <c:v>115.00928924040552</c:v>
                </c:pt>
                <c:pt idx="90">
                  <c:v>113.35474282074418</c:v>
                </c:pt>
                <c:pt idx="91">
                  <c:v>113.16418068899623</c:v>
                </c:pt>
                <c:pt idx="92">
                  <c:v>112.49588619353467</c:v>
                </c:pt>
                <c:pt idx="93">
                  <c:v>112.86798662349382</c:v>
                </c:pt>
                <c:pt idx="94">
                  <c:v>110.75216306598014</c:v>
                </c:pt>
                <c:pt idx="95">
                  <c:v>111.40506396305537</c:v>
                </c:pt>
                <c:pt idx="96">
                  <c:v>112.02293115345825</c:v>
                </c:pt>
                <c:pt idx="97">
                  <c:v>112.85418546631986</c:v>
                </c:pt>
                <c:pt idx="98">
                  <c:v>112.34725834704602</c:v>
                </c:pt>
                <c:pt idx="99">
                  <c:v>111.71718244068157</c:v>
                </c:pt>
                <c:pt idx="100">
                  <c:v>112.40830192685385</c:v>
                </c:pt>
                <c:pt idx="101">
                  <c:v>112.09618344922767</c:v>
                </c:pt>
                <c:pt idx="102">
                  <c:v>110.8052444397261</c:v>
                </c:pt>
                <c:pt idx="103">
                  <c:v>111.20707043898297</c:v>
                </c:pt>
                <c:pt idx="104">
                  <c:v>111.28138436222727</c:v>
                </c:pt>
                <c:pt idx="105">
                  <c:v>110.65183926960029</c:v>
                </c:pt>
                <c:pt idx="106">
                  <c:v>109.60242051064282</c:v>
                </c:pt>
                <c:pt idx="107">
                  <c:v>109.691597218536</c:v>
                </c:pt>
                <c:pt idx="108">
                  <c:v>108.61776102765539</c:v>
                </c:pt>
                <c:pt idx="109">
                  <c:v>108.5545941928977</c:v>
                </c:pt>
                <c:pt idx="110">
                  <c:v>110.28504697701575</c:v>
                </c:pt>
                <c:pt idx="111">
                  <c:v>111.24953553797971</c:v>
                </c:pt>
                <c:pt idx="112">
                  <c:v>111.69276500875841</c:v>
                </c:pt>
                <c:pt idx="113">
                  <c:v>112.89771219279154</c:v>
                </c:pt>
                <c:pt idx="114">
                  <c:v>113.35580444821913</c:v>
                </c:pt>
                <c:pt idx="115">
                  <c:v>113.58033865916448</c:v>
                </c:pt>
                <c:pt idx="116">
                  <c:v>113.29794575083602</c:v>
                </c:pt>
                <c:pt idx="117">
                  <c:v>113.43277244015076</c:v>
                </c:pt>
                <c:pt idx="118">
                  <c:v>113.11375338393756</c:v>
                </c:pt>
                <c:pt idx="119">
                  <c:v>113.10897606030044</c:v>
                </c:pt>
                <c:pt idx="120">
                  <c:v>114.17325760390678</c:v>
                </c:pt>
                <c:pt idx="121">
                  <c:v>114.74069748925102</c:v>
                </c:pt>
                <c:pt idx="122">
                  <c:v>115.89574818196296</c:v>
                </c:pt>
                <c:pt idx="123">
                  <c:v>115.61972503848399</c:v>
                </c:pt>
                <c:pt idx="124">
                  <c:v>115.62025585222145</c:v>
                </c:pt>
                <c:pt idx="125">
                  <c:v>114.85376081532989</c:v>
                </c:pt>
                <c:pt idx="126">
                  <c:v>114.57136790700142</c:v>
                </c:pt>
                <c:pt idx="127">
                  <c:v>114.99973459313127</c:v>
                </c:pt>
                <c:pt idx="128">
                  <c:v>115.62981049949572</c:v>
                </c:pt>
                <c:pt idx="129">
                  <c:v>116.36711078082701</c:v>
                </c:pt>
                <c:pt idx="130">
                  <c:v>116.70205424916398</c:v>
                </c:pt>
                <c:pt idx="131">
                  <c:v>117.48765858060406</c:v>
                </c:pt>
                <c:pt idx="132">
                  <c:v>117.58426668082168</c:v>
                </c:pt>
                <c:pt idx="133">
                  <c:v>117.07468549286055</c:v>
                </c:pt>
                <c:pt idx="134">
                  <c:v>116.49344445034235</c:v>
                </c:pt>
                <c:pt idx="135">
                  <c:v>116.44142470407132</c:v>
                </c:pt>
                <c:pt idx="136">
                  <c:v>116.83953500716598</c:v>
                </c:pt>
                <c:pt idx="137">
                  <c:v>117.06300759063643</c:v>
                </c:pt>
                <c:pt idx="138">
                  <c:v>117.44997080524442</c:v>
                </c:pt>
                <c:pt idx="139">
                  <c:v>117.54020914061256</c:v>
                </c:pt>
                <c:pt idx="140">
                  <c:v>117.20845055470035</c:v>
                </c:pt>
                <c:pt idx="141">
                  <c:v>116.66967461117895</c:v>
                </c:pt>
                <c:pt idx="142">
                  <c:v>116.69409204310209</c:v>
                </c:pt>
                <c:pt idx="143">
                  <c:v>116.49291363660492</c:v>
                </c:pt>
                <c:pt idx="144">
                  <c:v>116.65534264026753</c:v>
                </c:pt>
                <c:pt idx="145">
                  <c:v>117.28807261531928</c:v>
                </c:pt>
                <c:pt idx="146">
                  <c:v>117.72121662508626</c:v>
                </c:pt>
                <c:pt idx="147">
                  <c:v>117.14634534741759</c:v>
                </c:pt>
                <c:pt idx="148">
                  <c:v>117.61293062264451</c:v>
                </c:pt>
                <c:pt idx="149">
                  <c:v>117.44253941292</c:v>
                </c:pt>
                <c:pt idx="150">
                  <c:v>116.95949891183184</c:v>
                </c:pt>
                <c:pt idx="151">
                  <c:v>116.11868995169594</c:v>
                </c:pt>
                <c:pt idx="152">
                  <c:v>115.35537979722915</c:v>
                </c:pt>
                <c:pt idx="153">
                  <c:v>114.1244227400605</c:v>
                </c:pt>
                <c:pt idx="154">
                  <c:v>111.3286267848612</c:v>
                </c:pt>
                <c:pt idx="155">
                  <c:v>111.95923350496308</c:v>
                </c:pt>
                <c:pt idx="156">
                  <c:v>112.21667816763099</c:v>
                </c:pt>
                <c:pt idx="157">
                  <c:v>113.96093210892298</c:v>
                </c:pt>
                <c:pt idx="158">
                  <c:v>113.3467806146823</c:v>
                </c:pt>
                <c:pt idx="159">
                  <c:v>112.40777111311641</c:v>
                </c:pt>
                <c:pt idx="160">
                  <c:v>113.30431551568554</c:v>
                </c:pt>
                <c:pt idx="161">
                  <c:v>110.74154679123096</c:v>
                </c:pt>
                <c:pt idx="162">
                  <c:v>110.56000849301981</c:v>
                </c:pt>
                <c:pt idx="163">
                  <c:v>111.92207654334095</c:v>
                </c:pt>
                <c:pt idx="164">
                  <c:v>113.15940336535908</c:v>
                </c:pt>
                <c:pt idx="165">
                  <c:v>112.50968735070863</c:v>
                </c:pt>
                <c:pt idx="166">
                  <c:v>113.35633526195656</c:v>
                </c:pt>
                <c:pt idx="167">
                  <c:v>113.15250278677212</c:v>
                </c:pt>
                <c:pt idx="168">
                  <c:v>111.18583788948457</c:v>
                </c:pt>
                <c:pt idx="169">
                  <c:v>111.74796963745419</c:v>
                </c:pt>
                <c:pt idx="170">
                  <c:v>111.72832952916821</c:v>
                </c:pt>
                <c:pt idx="171">
                  <c:v>112.10361484155209</c:v>
                </c:pt>
                <c:pt idx="172">
                  <c:v>113.22681671001644</c:v>
                </c:pt>
                <c:pt idx="173">
                  <c:v>113.51557938319444</c:v>
                </c:pt>
                <c:pt idx="174">
                  <c:v>113.41260151812729</c:v>
                </c:pt>
                <c:pt idx="175">
                  <c:v>112.89983544774138</c:v>
                </c:pt>
                <c:pt idx="176">
                  <c:v>114.11433727904878</c:v>
                </c:pt>
                <c:pt idx="177">
                  <c:v>115.41323849461223</c:v>
                </c:pt>
                <c:pt idx="178">
                  <c:v>115.65900525505599</c:v>
                </c:pt>
                <c:pt idx="179">
                  <c:v>115.63299538192047</c:v>
                </c:pt>
                <c:pt idx="180">
                  <c:v>115.68713838314136</c:v>
                </c:pt>
                <c:pt idx="181">
                  <c:v>116.48282817559318</c:v>
                </c:pt>
                <c:pt idx="182">
                  <c:v>116.87509952757576</c:v>
                </c:pt>
                <c:pt idx="183">
                  <c:v>117.08742502255957</c:v>
                </c:pt>
                <c:pt idx="184">
                  <c:v>116.56032698126228</c:v>
                </c:pt>
                <c:pt idx="185">
                  <c:v>116.87297627262593</c:v>
                </c:pt>
                <c:pt idx="186">
                  <c:v>116.83316524231645</c:v>
                </c:pt>
                <c:pt idx="187">
                  <c:v>117.0269122564892</c:v>
                </c:pt>
                <c:pt idx="188">
                  <c:v>116.64897287541802</c:v>
                </c:pt>
                <c:pt idx="189">
                  <c:v>116.44673284144591</c:v>
                </c:pt>
                <c:pt idx="190">
                  <c:v>115.82727320983068</c:v>
                </c:pt>
                <c:pt idx="191">
                  <c:v>115.95944583045808</c:v>
                </c:pt>
                <c:pt idx="192">
                  <c:v>115.90105631933754</c:v>
                </c:pt>
                <c:pt idx="193">
                  <c:v>115.48065183926958</c:v>
                </c:pt>
                <c:pt idx="194">
                  <c:v>115.71845639365146</c:v>
                </c:pt>
              </c:numCache>
            </c:numRef>
          </c:val>
          <c:smooth val="0"/>
        </c:ser>
        <c:dLbls>
          <c:showLegendKey val="0"/>
          <c:showVal val="0"/>
          <c:showCatName val="0"/>
          <c:showSerName val="0"/>
          <c:showPercent val="0"/>
          <c:showBubbleSize val="0"/>
        </c:dLbls>
        <c:smooth val="0"/>
        <c:axId val="472652584"/>
        <c:axId val="472650232"/>
      </c:lineChart>
      <c:dateAx>
        <c:axId val="47265258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2650232"/>
        <c:crosses val="autoZero"/>
        <c:auto val="1"/>
        <c:lblOffset val="100"/>
        <c:baseTimeUnit val="days"/>
        <c:majorUnit val="1"/>
        <c:majorTimeUnit val="months"/>
      </c:dateAx>
      <c:valAx>
        <c:axId val="472650232"/>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2652584"/>
        <c:crosses val="autoZero"/>
        <c:crossBetween val="between"/>
      </c:valAx>
      <c:spPr>
        <a:noFill/>
        <a:ln>
          <a:noFill/>
        </a:ln>
        <a:effectLst/>
      </c:spPr>
    </c:plotArea>
    <c:legend>
      <c:legendPos val="b"/>
      <c:layout>
        <c:manualLayout>
          <c:xMode val="edge"/>
          <c:yMode val="edge"/>
          <c:x val="6.3659002580309806E-2"/>
          <c:y val="0.90228743795085298"/>
          <c:w val="0.89322065694473296"/>
          <c:h val="9.1685106525863397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Index_Charts!$I$1</c:f>
              <c:strCache>
                <c:ptCount val="1"/>
                <c:pt idx="0">
                  <c:v>Bovespa</c:v>
                </c:pt>
              </c:strCache>
            </c:strRef>
          </c:tx>
          <c:spPr>
            <a:ln w="28575" cap="rnd">
              <a:solidFill>
                <a:schemeClr val="accent1"/>
              </a:solidFill>
              <a:round/>
            </a:ln>
            <a:effectLst/>
          </c:spPr>
          <c:marker>
            <c:symbol val="none"/>
          </c:marker>
          <c:cat>
            <c:numRef>
              <c:f>Index_Charts!$A$250:$A$444</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Index_Charts!$I$250:$I$444</c:f>
              <c:numCache>
                <c:formatCode>0.00</c:formatCode>
                <c:ptCount val="195"/>
                <c:pt idx="0">
                  <c:v>100</c:v>
                </c:pt>
                <c:pt idx="1">
                  <c:v>103.55574858062478</c:v>
                </c:pt>
                <c:pt idx="2">
                  <c:v>104.18375769138781</c:v>
                </c:pt>
                <c:pt idx="3">
                  <c:v>104.4984108049335</c:v>
                </c:pt>
                <c:pt idx="4">
                  <c:v>104.33713600810859</c:v>
                </c:pt>
                <c:pt idx="5">
                  <c:v>104.71581432849312</c:v>
                </c:pt>
                <c:pt idx="6">
                  <c:v>106.51491467591549</c:v>
                </c:pt>
                <c:pt idx="7">
                  <c:v>106.73438903431509</c:v>
                </c:pt>
                <c:pt idx="8">
                  <c:v>106.56642384800709</c:v>
                </c:pt>
                <c:pt idx="9">
                  <c:v>107.4946812541431</c:v>
                </c:pt>
                <c:pt idx="10">
                  <c:v>107.01860542699819</c:v>
                </c:pt>
                <c:pt idx="11">
                  <c:v>107.40244945626934</c:v>
                </c:pt>
                <c:pt idx="12">
                  <c:v>108.49250505704696</c:v>
                </c:pt>
                <c:pt idx="13">
                  <c:v>109.34093291792234</c:v>
                </c:pt>
                <c:pt idx="14">
                  <c:v>109.24196521771188</c:v>
                </c:pt>
                <c:pt idx="15">
                  <c:v>108.21065533275245</c:v>
                </c:pt>
                <c:pt idx="16">
                  <c:v>109.86623089626416</c:v>
                </c:pt>
                <c:pt idx="17">
                  <c:v>111.13919127755263</c:v>
                </c:pt>
                <c:pt idx="18">
                  <c:v>111.13919127755263</c:v>
                </c:pt>
                <c:pt idx="19">
                  <c:v>108.59808349924667</c:v>
                </c:pt>
                <c:pt idx="20">
                  <c:v>108.82047068027836</c:v>
                </c:pt>
                <c:pt idx="21">
                  <c:v>110.36435770099102</c:v>
                </c:pt>
                <c:pt idx="22">
                  <c:v>110.816675818543</c:v>
                </c:pt>
                <c:pt idx="23">
                  <c:v>111.34864142994105</c:v>
                </c:pt>
                <c:pt idx="24">
                  <c:v>112.1762471602824</c:v>
                </c:pt>
                <c:pt idx="25">
                  <c:v>111.8605813857435</c:v>
                </c:pt>
                <c:pt idx="26">
                  <c:v>107.67837113137901</c:v>
                </c:pt>
                <c:pt idx="27">
                  <c:v>107.41669497945436</c:v>
                </c:pt>
                <c:pt idx="28">
                  <c:v>108.48341386453511</c:v>
                </c:pt>
                <c:pt idx="29">
                  <c:v>107.42502383166799</c:v>
                </c:pt>
                <c:pt idx="30">
                  <c:v>109.42245781698053</c:v>
                </c:pt>
                <c:pt idx="31">
                  <c:v>109.05152805992586</c:v>
                </c:pt>
                <c:pt idx="32">
                  <c:v>111.52366110856113</c:v>
                </c:pt>
                <c:pt idx="33">
                  <c:v>110.96706166513783</c:v>
                </c:pt>
                <c:pt idx="34">
                  <c:v>109.81101242660201</c:v>
                </c:pt>
                <c:pt idx="35">
                  <c:v>111.11866498056715</c:v>
                </c:pt>
                <c:pt idx="36">
                  <c:v>109.85074514781779</c:v>
                </c:pt>
                <c:pt idx="37">
                  <c:v>110.29160540446932</c:v>
                </c:pt>
                <c:pt idx="38">
                  <c:v>111.37632462315928</c:v>
                </c:pt>
                <c:pt idx="39">
                  <c:v>110.64163338349609</c:v>
                </c:pt>
                <c:pt idx="40">
                  <c:v>111.05420740161884</c:v>
                </c:pt>
                <c:pt idx="41">
                  <c:v>110.71833392006987</c:v>
                </c:pt>
                <c:pt idx="42">
                  <c:v>108.75791326296896</c:v>
                </c:pt>
                <c:pt idx="43">
                  <c:v>107.64216565631925</c:v>
                </c:pt>
                <c:pt idx="44">
                  <c:v>107.64216565631925</c:v>
                </c:pt>
                <c:pt idx="45">
                  <c:v>107.64216565631925</c:v>
                </c:pt>
                <c:pt idx="46">
                  <c:v>107.20196533604529</c:v>
                </c:pt>
                <c:pt idx="47">
                  <c:v>107.34225870734848</c:v>
                </c:pt>
                <c:pt idx="48">
                  <c:v>108.50816147869442</c:v>
                </c:pt>
                <c:pt idx="49">
                  <c:v>111.53678018861892</c:v>
                </c:pt>
                <c:pt idx="50">
                  <c:v>111.31082024857757</c:v>
                </c:pt>
                <c:pt idx="51">
                  <c:v>112.53494533792498</c:v>
                </c:pt>
                <c:pt idx="52">
                  <c:v>112.19449781458654</c:v>
                </c:pt>
                <c:pt idx="53">
                  <c:v>112.79989841531074</c:v>
                </c:pt>
                <c:pt idx="54">
                  <c:v>113.77521611209633</c:v>
                </c:pt>
                <c:pt idx="55">
                  <c:v>113.31377266739229</c:v>
                </c:pt>
                <c:pt idx="56">
                  <c:v>111.55356305339363</c:v>
                </c:pt>
                <c:pt idx="57">
                  <c:v>110.06041148626093</c:v>
                </c:pt>
                <c:pt idx="58">
                  <c:v>106.65385403982329</c:v>
                </c:pt>
                <c:pt idx="59">
                  <c:v>106.57063378696753</c:v>
                </c:pt>
                <c:pt idx="60">
                  <c:v>108.442133706296</c:v>
                </c:pt>
                <c:pt idx="61">
                  <c:v>104.56964979907212</c:v>
                </c:pt>
                <c:pt idx="62">
                  <c:v>107.3977502541324</c:v>
                </c:pt>
                <c:pt idx="63">
                  <c:v>108.56471119932513</c:v>
                </c:pt>
                <c:pt idx="64">
                  <c:v>109.2928030752125</c:v>
                </c:pt>
                <c:pt idx="65">
                  <c:v>108.53309114426824</c:v>
                </c:pt>
                <c:pt idx="66">
                  <c:v>107.51442245440353</c:v>
                </c:pt>
                <c:pt idx="67">
                  <c:v>109.58705505212019</c:v>
                </c:pt>
                <c:pt idx="68">
                  <c:v>110.49174817829115</c:v>
                </c:pt>
                <c:pt idx="69">
                  <c:v>110.78885608676387</c:v>
                </c:pt>
                <c:pt idx="70">
                  <c:v>109.56285359220436</c:v>
                </c:pt>
                <c:pt idx="71">
                  <c:v>109.17788311980598</c:v>
                </c:pt>
                <c:pt idx="72">
                  <c:v>107.81391978769163</c:v>
                </c:pt>
                <c:pt idx="73">
                  <c:v>105.67515701365591</c:v>
                </c:pt>
                <c:pt idx="74">
                  <c:v>105.91178971787265</c:v>
                </c:pt>
                <c:pt idx="75">
                  <c:v>107.33445325295156</c:v>
                </c:pt>
                <c:pt idx="76">
                  <c:v>106.14137930799072</c:v>
                </c:pt>
                <c:pt idx="77">
                  <c:v>107.61316259034585</c:v>
                </c:pt>
                <c:pt idx="78">
                  <c:v>107.61316259034585</c:v>
                </c:pt>
                <c:pt idx="79">
                  <c:v>107.62431323948431</c:v>
                </c:pt>
                <c:pt idx="80">
                  <c:v>109.14350953710471</c:v>
                </c:pt>
                <c:pt idx="81">
                  <c:v>108.14471858606127</c:v>
                </c:pt>
                <c:pt idx="82">
                  <c:v>109.85896021789733</c:v>
                </c:pt>
                <c:pt idx="83">
                  <c:v>109.49942005246267</c:v>
                </c:pt>
                <c:pt idx="84">
                  <c:v>109.44447465992229</c:v>
                </c:pt>
                <c:pt idx="85">
                  <c:v>109.6328751175085</c:v>
                </c:pt>
                <c:pt idx="86">
                  <c:v>109.6328751175085</c:v>
                </c:pt>
                <c:pt idx="87">
                  <c:v>108.69336465831339</c:v>
                </c:pt>
                <c:pt idx="88">
                  <c:v>109.23982611359145</c:v>
                </c:pt>
                <c:pt idx="89">
                  <c:v>108.10288089536529</c:v>
                </c:pt>
                <c:pt idx="90">
                  <c:v>107.39751131165085</c:v>
                </c:pt>
                <c:pt idx="91">
                  <c:v>108.77186295260542</c:v>
                </c:pt>
                <c:pt idx="92">
                  <c:v>107.87439499194764</c:v>
                </c:pt>
                <c:pt idx="93">
                  <c:v>107.24826328639669</c:v>
                </c:pt>
                <c:pt idx="94">
                  <c:v>104.36841471676328</c:v>
                </c:pt>
                <c:pt idx="95">
                  <c:v>104.78474354531022</c:v>
                </c:pt>
                <c:pt idx="96">
                  <c:v>104.25110533654139</c:v>
                </c:pt>
                <c:pt idx="97">
                  <c:v>102.43176314746871</c:v>
                </c:pt>
                <c:pt idx="98">
                  <c:v>102.39564869811619</c:v>
                </c:pt>
                <c:pt idx="99">
                  <c:v>104.61833717423892</c:v>
                </c:pt>
                <c:pt idx="100">
                  <c:v>107.50662837822003</c:v>
                </c:pt>
                <c:pt idx="101">
                  <c:v>107.36557266661859</c:v>
                </c:pt>
                <c:pt idx="102">
                  <c:v>106.85283623587765</c:v>
                </c:pt>
                <c:pt idx="103">
                  <c:v>106.53170891890362</c:v>
                </c:pt>
                <c:pt idx="104">
                  <c:v>107.93856811556077</c:v>
                </c:pt>
                <c:pt idx="105">
                  <c:v>109.67773941297065</c:v>
                </c:pt>
                <c:pt idx="106">
                  <c:v>109.87548138376371</c:v>
                </c:pt>
                <c:pt idx="107">
                  <c:v>110.88906401223568</c:v>
                </c:pt>
                <c:pt idx="108">
                  <c:v>110.40316878692089</c:v>
                </c:pt>
                <c:pt idx="109">
                  <c:v>110.39197262492881</c:v>
                </c:pt>
                <c:pt idx="110">
                  <c:v>110.80136074329772</c:v>
                </c:pt>
                <c:pt idx="111">
                  <c:v>109.22942642653781</c:v>
                </c:pt>
                <c:pt idx="112">
                  <c:v>110.601752745506</c:v>
                </c:pt>
                <c:pt idx="113">
                  <c:v>111.30311719810129</c:v>
                </c:pt>
                <c:pt idx="114">
                  <c:v>110.89967988534404</c:v>
                </c:pt>
                <c:pt idx="115">
                  <c:v>112.59879987156273</c:v>
                </c:pt>
                <c:pt idx="116">
                  <c:v>111.87159549632109</c:v>
                </c:pt>
                <c:pt idx="117">
                  <c:v>112.38682375579805</c:v>
                </c:pt>
                <c:pt idx="118">
                  <c:v>111.55207250743737</c:v>
                </c:pt>
                <c:pt idx="119">
                  <c:v>111.07781719443753</c:v>
                </c:pt>
                <c:pt idx="120">
                  <c:v>113.10443629713795</c:v>
                </c:pt>
                <c:pt idx="121">
                  <c:v>114.12734906060334</c:v>
                </c:pt>
                <c:pt idx="122">
                  <c:v>114.12734906060334</c:v>
                </c:pt>
                <c:pt idx="123">
                  <c:v>116.0721132960568</c:v>
                </c:pt>
                <c:pt idx="124">
                  <c:v>116.12866301668751</c:v>
                </c:pt>
                <c:pt idx="125">
                  <c:v>113.88795145052879</c:v>
                </c:pt>
                <c:pt idx="126">
                  <c:v>114.56567197566521</c:v>
                </c:pt>
                <c:pt idx="127">
                  <c:v>114.60588258184407</c:v>
                </c:pt>
                <c:pt idx="128">
                  <c:v>114.88263486653243</c:v>
                </c:pt>
                <c:pt idx="129">
                  <c:v>115.30647331592772</c:v>
                </c:pt>
                <c:pt idx="130">
                  <c:v>114.47074354121405</c:v>
                </c:pt>
                <c:pt idx="131">
                  <c:v>116.10681684694688</c:v>
                </c:pt>
                <c:pt idx="132">
                  <c:v>117.9194800247499</c:v>
                </c:pt>
                <c:pt idx="133">
                  <c:v>118.43525443847038</c:v>
                </c:pt>
                <c:pt idx="134">
                  <c:v>118.93669230329857</c:v>
                </c:pt>
                <c:pt idx="135">
                  <c:v>118.93669230329857</c:v>
                </c:pt>
                <c:pt idx="136">
                  <c:v>120.40095458659196</c:v>
                </c:pt>
                <c:pt idx="137">
                  <c:v>119.63781781341231</c:v>
                </c:pt>
                <c:pt idx="138">
                  <c:v>118.22646422245955</c:v>
                </c:pt>
                <c:pt idx="139">
                  <c:v>118.10892727796953</c:v>
                </c:pt>
                <c:pt idx="140">
                  <c:v>118.07786475536955</c:v>
                </c:pt>
                <c:pt idx="141">
                  <c:v>118.16900424475629</c:v>
                </c:pt>
                <c:pt idx="142">
                  <c:v>119.14878220119731</c:v>
                </c:pt>
                <c:pt idx="143">
                  <c:v>117.70977955166653</c:v>
                </c:pt>
                <c:pt idx="144">
                  <c:v>118.2759594507782</c:v>
                </c:pt>
                <c:pt idx="145">
                  <c:v>117.99696565804874</c:v>
                </c:pt>
                <c:pt idx="146">
                  <c:v>118.46938907869014</c:v>
                </c:pt>
                <c:pt idx="147">
                  <c:v>116.80259459675955</c:v>
                </c:pt>
                <c:pt idx="148">
                  <c:v>116.98953864302972</c:v>
                </c:pt>
                <c:pt idx="149">
                  <c:v>117.74471066682477</c:v>
                </c:pt>
                <c:pt idx="150">
                  <c:v>117.11913649373074</c:v>
                </c:pt>
                <c:pt idx="151">
                  <c:v>115.84398011725479</c:v>
                </c:pt>
                <c:pt idx="152">
                  <c:v>116.2010284539534</c:v>
                </c:pt>
                <c:pt idx="153">
                  <c:v>116.82432698436611</c:v>
                </c:pt>
                <c:pt idx="154">
                  <c:v>113.89341299296396</c:v>
                </c:pt>
                <c:pt idx="155">
                  <c:v>116.24403810063029</c:v>
                </c:pt>
                <c:pt idx="156">
                  <c:v>116.94800816409567</c:v>
                </c:pt>
                <c:pt idx="157">
                  <c:v>118.4644964469253</c:v>
                </c:pt>
                <c:pt idx="158">
                  <c:v>118.32909570738694</c:v>
                </c:pt>
                <c:pt idx="159">
                  <c:v>115.96128949747666</c:v>
                </c:pt>
                <c:pt idx="160">
                  <c:v>117.53637557935019</c:v>
                </c:pt>
                <c:pt idx="161">
                  <c:v>114.07569197173744</c:v>
                </c:pt>
                <c:pt idx="162">
                  <c:v>112.70905475947252</c:v>
                </c:pt>
                <c:pt idx="163">
                  <c:v>113.56116916149168</c:v>
                </c:pt>
                <c:pt idx="164">
                  <c:v>113.17760958755569</c:v>
                </c:pt>
                <c:pt idx="165">
                  <c:v>112.89725040921745</c:v>
                </c:pt>
                <c:pt idx="166">
                  <c:v>115.14968153518497</c:v>
                </c:pt>
                <c:pt idx="167">
                  <c:v>113.79499144699699</c:v>
                </c:pt>
                <c:pt idx="168">
                  <c:v>111.12816578876166</c:v>
                </c:pt>
                <c:pt idx="169">
                  <c:v>109.71965675116053</c:v>
                </c:pt>
                <c:pt idx="170">
                  <c:v>110.68293629816199</c:v>
                </c:pt>
                <c:pt idx="171">
                  <c:v>111.726659813948</c:v>
                </c:pt>
                <c:pt idx="172">
                  <c:v>114.37880757688885</c:v>
                </c:pt>
                <c:pt idx="173">
                  <c:v>115.07310615895867</c:v>
                </c:pt>
                <c:pt idx="174">
                  <c:v>114.49406887869755</c:v>
                </c:pt>
                <c:pt idx="175">
                  <c:v>113.41894149390936</c:v>
                </c:pt>
                <c:pt idx="176">
                  <c:v>115.1485437138443</c:v>
                </c:pt>
                <c:pt idx="177">
                  <c:v>116.33426733294452</c:v>
                </c:pt>
                <c:pt idx="178">
                  <c:v>117.12209482921642</c:v>
                </c:pt>
                <c:pt idx="179">
                  <c:v>117.40108862194589</c:v>
                </c:pt>
                <c:pt idx="180">
                  <c:v>117.23143946005372</c:v>
                </c:pt>
                <c:pt idx="181">
                  <c:v>117.7026112772204</c:v>
                </c:pt>
                <c:pt idx="182">
                  <c:v>118.75543736373166</c:v>
                </c:pt>
                <c:pt idx="183">
                  <c:v>117.76587414376101</c:v>
                </c:pt>
                <c:pt idx="184">
                  <c:v>117.969771728007</c:v>
                </c:pt>
                <c:pt idx="185">
                  <c:v>119.03534141353364</c:v>
                </c:pt>
                <c:pt idx="186">
                  <c:v>118.93862659957767</c:v>
                </c:pt>
                <c:pt idx="187">
                  <c:v>118.71936842723281</c:v>
                </c:pt>
                <c:pt idx="188">
                  <c:v>119.26347459233568</c:v>
                </c:pt>
                <c:pt idx="189">
                  <c:v>119.05912187955343</c:v>
                </c:pt>
                <c:pt idx="190">
                  <c:v>118.19198823583761</c:v>
                </c:pt>
                <c:pt idx="191">
                  <c:v>118.88071149333818</c:v>
                </c:pt>
                <c:pt idx="192">
                  <c:v>119.83466090534624</c:v>
                </c:pt>
                <c:pt idx="193">
                  <c:v>119.55953570517504</c:v>
                </c:pt>
                <c:pt idx="194">
                  <c:v>119.18143767367422</c:v>
                </c:pt>
              </c:numCache>
            </c:numRef>
          </c:val>
          <c:smooth val="0"/>
        </c:ser>
        <c:ser>
          <c:idx val="1"/>
          <c:order val="1"/>
          <c:tx>
            <c:strRef>
              <c:f>Index_Charts!$J$1</c:f>
              <c:strCache>
                <c:ptCount val="1"/>
                <c:pt idx="0">
                  <c:v>Russian Traded</c:v>
                </c:pt>
              </c:strCache>
            </c:strRef>
          </c:tx>
          <c:spPr>
            <a:ln w="28575" cap="rnd">
              <a:solidFill>
                <a:schemeClr val="accent2"/>
              </a:solidFill>
              <a:round/>
            </a:ln>
            <a:effectLst/>
          </c:spPr>
          <c:marker>
            <c:symbol val="none"/>
          </c:marker>
          <c:cat>
            <c:numRef>
              <c:f>Index_Charts!$A$250:$A$444</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Index_Charts!$J$250:$J$444</c:f>
              <c:numCache>
                <c:formatCode>0.00</c:formatCode>
                <c:ptCount val="195"/>
                <c:pt idx="0">
                  <c:v>100</c:v>
                </c:pt>
                <c:pt idx="1">
                  <c:v>100</c:v>
                </c:pt>
                <c:pt idx="2">
                  <c:v>101.78096842159192</c:v>
                </c:pt>
                <c:pt idx="3">
                  <c:v>105.00669224020341</c:v>
                </c:pt>
                <c:pt idx="4">
                  <c:v>105.00669224020341</c:v>
                </c:pt>
                <c:pt idx="5">
                  <c:v>105.42295598491205</c:v>
                </c:pt>
                <c:pt idx="6">
                  <c:v>106.64677139435545</c:v>
                </c:pt>
                <c:pt idx="7">
                  <c:v>107.46136752246223</c:v>
                </c:pt>
                <c:pt idx="8">
                  <c:v>107.97433253709549</c:v>
                </c:pt>
                <c:pt idx="9">
                  <c:v>107.61058206479626</c:v>
                </c:pt>
                <c:pt idx="10">
                  <c:v>107.55422635782033</c:v>
                </c:pt>
                <c:pt idx="11">
                  <c:v>108.08960557409173</c:v>
                </c:pt>
                <c:pt idx="12">
                  <c:v>108.55261893935997</c:v>
                </c:pt>
                <c:pt idx="13">
                  <c:v>110.47831906295831</c:v>
                </c:pt>
                <c:pt idx="14">
                  <c:v>109.80653341957465</c:v>
                </c:pt>
                <c:pt idx="15">
                  <c:v>109.59648032993705</c:v>
                </c:pt>
                <c:pt idx="16">
                  <c:v>111.52666329386298</c:v>
                </c:pt>
                <c:pt idx="17">
                  <c:v>111.70341528392389</c:v>
                </c:pt>
                <c:pt idx="18">
                  <c:v>112.04475155458498</c:v>
                </c:pt>
                <c:pt idx="19">
                  <c:v>110.66851957400208</c:v>
                </c:pt>
                <c:pt idx="20">
                  <c:v>112.04923439491263</c:v>
                </c:pt>
                <c:pt idx="21">
                  <c:v>113.12703729082747</c:v>
                </c:pt>
                <c:pt idx="22">
                  <c:v>114.26567873404589</c:v>
                </c:pt>
                <c:pt idx="23">
                  <c:v>114.0882863382239</c:v>
                </c:pt>
                <c:pt idx="24">
                  <c:v>113.96340721481131</c:v>
                </c:pt>
                <c:pt idx="25">
                  <c:v>115.34412203572182</c:v>
                </c:pt>
                <c:pt idx="26">
                  <c:v>114.54745726892558</c:v>
                </c:pt>
                <c:pt idx="27">
                  <c:v>112.74663626873986</c:v>
                </c:pt>
                <c:pt idx="28">
                  <c:v>112.62495917413273</c:v>
                </c:pt>
                <c:pt idx="29">
                  <c:v>112.90737811477352</c:v>
                </c:pt>
                <c:pt idx="30">
                  <c:v>114.45780046237294</c:v>
                </c:pt>
                <c:pt idx="31">
                  <c:v>111.62080294074326</c:v>
                </c:pt>
                <c:pt idx="32">
                  <c:v>107.84368976183309</c:v>
                </c:pt>
                <c:pt idx="33">
                  <c:v>110.37457332966167</c:v>
                </c:pt>
                <c:pt idx="34">
                  <c:v>110.20102336840623</c:v>
                </c:pt>
                <c:pt idx="35">
                  <c:v>110.03195624747842</c:v>
                </c:pt>
                <c:pt idx="36">
                  <c:v>112.00312518011413</c:v>
                </c:pt>
                <c:pt idx="37">
                  <c:v>111.59134427573309</c:v>
                </c:pt>
                <c:pt idx="38">
                  <c:v>112.60894903010548</c:v>
                </c:pt>
                <c:pt idx="39">
                  <c:v>112.6672259543647</c:v>
                </c:pt>
                <c:pt idx="40">
                  <c:v>111.81676710363686</c:v>
                </c:pt>
                <c:pt idx="41">
                  <c:v>111.90130066410077</c:v>
                </c:pt>
                <c:pt idx="42">
                  <c:v>111.54267343789024</c:v>
                </c:pt>
                <c:pt idx="43">
                  <c:v>111.38385280913987</c:v>
                </c:pt>
                <c:pt idx="44">
                  <c:v>111.13665618535904</c:v>
                </c:pt>
                <c:pt idx="45">
                  <c:v>110.57181830407745</c:v>
                </c:pt>
                <c:pt idx="46">
                  <c:v>111.83149643614195</c:v>
                </c:pt>
                <c:pt idx="47">
                  <c:v>110.43477147120416</c:v>
                </c:pt>
                <c:pt idx="48">
                  <c:v>110.43477147120416</c:v>
                </c:pt>
                <c:pt idx="49">
                  <c:v>110.18309200709568</c:v>
                </c:pt>
                <c:pt idx="50">
                  <c:v>110.76778246697107</c:v>
                </c:pt>
                <c:pt idx="51">
                  <c:v>111.26601814909927</c:v>
                </c:pt>
                <c:pt idx="52">
                  <c:v>110.74857029413836</c:v>
                </c:pt>
                <c:pt idx="53">
                  <c:v>112.31500278576505</c:v>
                </c:pt>
                <c:pt idx="54">
                  <c:v>113.73029951777447</c:v>
                </c:pt>
                <c:pt idx="55">
                  <c:v>114.46292370846167</c:v>
                </c:pt>
                <c:pt idx="56">
                  <c:v>115.37037867192652</c:v>
                </c:pt>
                <c:pt idx="57">
                  <c:v>116.60572138506957</c:v>
                </c:pt>
                <c:pt idx="58">
                  <c:v>114.05818726745265</c:v>
                </c:pt>
                <c:pt idx="59">
                  <c:v>115.59772271711356</c:v>
                </c:pt>
                <c:pt idx="60">
                  <c:v>115.62718138212371</c:v>
                </c:pt>
                <c:pt idx="61">
                  <c:v>113.45044220017803</c:v>
                </c:pt>
                <c:pt idx="62">
                  <c:v>113.57980416391827</c:v>
                </c:pt>
                <c:pt idx="63">
                  <c:v>112.64096931815999</c:v>
                </c:pt>
                <c:pt idx="64">
                  <c:v>114.37967095951996</c:v>
                </c:pt>
                <c:pt idx="65">
                  <c:v>114.57755633969684</c:v>
                </c:pt>
                <c:pt idx="66">
                  <c:v>115.38638881595378</c:v>
                </c:pt>
                <c:pt idx="67">
                  <c:v>115.16480842261656</c:v>
                </c:pt>
                <c:pt idx="68">
                  <c:v>115.93073371288047</c:v>
                </c:pt>
                <c:pt idx="69">
                  <c:v>117.26469891323141</c:v>
                </c:pt>
                <c:pt idx="70">
                  <c:v>118.35915235893462</c:v>
                </c:pt>
                <c:pt idx="71">
                  <c:v>119.71361054364044</c:v>
                </c:pt>
                <c:pt idx="72">
                  <c:v>118.16767103636865</c:v>
                </c:pt>
                <c:pt idx="73">
                  <c:v>118.84073749127448</c:v>
                </c:pt>
                <c:pt idx="74">
                  <c:v>118.01141203066263</c:v>
                </c:pt>
                <c:pt idx="75">
                  <c:v>118.81384044930867</c:v>
                </c:pt>
                <c:pt idx="76">
                  <c:v>119.80839059628181</c:v>
                </c:pt>
                <c:pt idx="77">
                  <c:v>119.33705195611941</c:v>
                </c:pt>
                <c:pt idx="78">
                  <c:v>119.24675474380568</c:v>
                </c:pt>
                <c:pt idx="79">
                  <c:v>120.81895088728218</c:v>
                </c:pt>
                <c:pt idx="80">
                  <c:v>121.17373567892618</c:v>
                </c:pt>
                <c:pt idx="81">
                  <c:v>119.89996862011772</c:v>
                </c:pt>
                <c:pt idx="82">
                  <c:v>117.82249233114102</c:v>
                </c:pt>
                <c:pt idx="83">
                  <c:v>117.9089471088882</c:v>
                </c:pt>
                <c:pt idx="84">
                  <c:v>118.77413529212109</c:v>
                </c:pt>
                <c:pt idx="85">
                  <c:v>117.97234727923613</c:v>
                </c:pt>
                <c:pt idx="86">
                  <c:v>117.97234727923613</c:v>
                </c:pt>
                <c:pt idx="87">
                  <c:v>117.1673572375457</c:v>
                </c:pt>
                <c:pt idx="88">
                  <c:v>117.94096739694271</c:v>
                </c:pt>
                <c:pt idx="89">
                  <c:v>117.64958277564665</c:v>
                </c:pt>
                <c:pt idx="90">
                  <c:v>116.90799290430417</c:v>
                </c:pt>
                <c:pt idx="91">
                  <c:v>116.15935856958967</c:v>
                </c:pt>
                <c:pt idx="92">
                  <c:v>116.15935856958967</c:v>
                </c:pt>
                <c:pt idx="93">
                  <c:v>114.26631913980698</c:v>
                </c:pt>
                <c:pt idx="94">
                  <c:v>114.06843375963011</c:v>
                </c:pt>
                <c:pt idx="95">
                  <c:v>117.60027153204268</c:v>
                </c:pt>
                <c:pt idx="96">
                  <c:v>117.95185429488124</c:v>
                </c:pt>
                <c:pt idx="97">
                  <c:v>119.43247241452184</c:v>
                </c:pt>
                <c:pt idx="98">
                  <c:v>118.63708845924779</c:v>
                </c:pt>
                <c:pt idx="99">
                  <c:v>118.79078584190943</c:v>
                </c:pt>
                <c:pt idx="100">
                  <c:v>121.76226857336808</c:v>
                </c:pt>
                <c:pt idx="101">
                  <c:v>123.23199979507015</c:v>
                </c:pt>
                <c:pt idx="102">
                  <c:v>121.45167177923932</c:v>
                </c:pt>
                <c:pt idx="103">
                  <c:v>121.72576544498594</c:v>
                </c:pt>
                <c:pt idx="104">
                  <c:v>122.73440451870306</c:v>
                </c:pt>
                <c:pt idx="105">
                  <c:v>121.11609916042805</c:v>
                </c:pt>
                <c:pt idx="106">
                  <c:v>121.57462968536865</c:v>
                </c:pt>
                <c:pt idx="107">
                  <c:v>123.04436090707071</c:v>
                </c:pt>
                <c:pt idx="108">
                  <c:v>123.29988280574571</c:v>
                </c:pt>
                <c:pt idx="109">
                  <c:v>126.31875556352506</c:v>
                </c:pt>
                <c:pt idx="110">
                  <c:v>125.1224776018085</c:v>
                </c:pt>
                <c:pt idx="111">
                  <c:v>124.61911867359159</c:v>
                </c:pt>
                <c:pt idx="112">
                  <c:v>126.04850433234498</c:v>
                </c:pt>
                <c:pt idx="113">
                  <c:v>126.68570806462975</c:v>
                </c:pt>
                <c:pt idx="114">
                  <c:v>127.59700546266114</c:v>
                </c:pt>
                <c:pt idx="115">
                  <c:v>127.98124891931528</c:v>
                </c:pt>
                <c:pt idx="116">
                  <c:v>127.98124891931528</c:v>
                </c:pt>
                <c:pt idx="117">
                  <c:v>128.19770606656377</c:v>
                </c:pt>
                <c:pt idx="118">
                  <c:v>127.6591248214869</c:v>
                </c:pt>
                <c:pt idx="119">
                  <c:v>127.41833225531698</c:v>
                </c:pt>
                <c:pt idx="120">
                  <c:v>129.25501597812374</c:v>
                </c:pt>
                <c:pt idx="121">
                  <c:v>129.05713059794687</c:v>
                </c:pt>
                <c:pt idx="122">
                  <c:v>132.0555103713713</c:v>
                </c:pt>
                <c:pt idx="123">
                  <c:v>130.46794448962862</c:v>
                </c:pt>
                <c:pt idx="124">
                  <c:v>130.96425895447354</c:v>
                </c:pt>
                <c:pt idx="125">
                  <c:v>130.62932674142337</c:v>
                </c:pt>
                <c:pt idx="126">
                  <c:v>131.52909683575515</c:v>
                </c:pt>
                <c:pt idx="127">
                  <c:v>131.53037764727733</c:v>
                </c:pt>
                <c:pt idx="128">
                  <c:v>130.9283962318525</c:v>
                </c:pt>
                <c:pt idx="129">
                  <c:v>133.29341470755872</c:v>
                </c:pt>
                <c:pt idx="130">
                  <c:v>132.31999795070158</c:v>
                </c:pt>
                <c:pt idx="131">
                  <c:v>132.54349956132205</c:v>
                </c:pt>
                <c:pt idx="132">
                  <c:v>133.66036720866342</c:v>
                </c:pt>
                <c:pt idx="133">
                  <c:v>132.4493599144418</c:v>
                </c:pt>
                <c:pt idx="134">
                  <c:v>132.20664613098862</c:v>
                </c:pt>
                <c:pt idx="135">
                  <c:v>131.89284730805437</c:v>
                </c:pt>
                <c:pt idx="136">
                  <c:v>133.02892712822847</c:v>
                </c:pt>
                <c:pt idx="137">
                  <c:v>132.29053928569141</c:v>
                </c:pt>
                <c:pt idx="138">
                  <c:v>130.56272454226999</c:v>
                </c:pt>
                <c:pt idx="139">
                  <c:v>130.23099435802524</c:v>
                </c:pt>
                <c:pt idx="140">
                  <c:v>130.02734532599857</c:v>
                </c:pt>
                <c:pt idx="141">
                  <c:v>128.36100953564178</c:v>
                </c:pt>
                <c:pt idx="142">
                  <c:v>127.43882523967184</c:v>
                </c:pt>
                <c:pt idx="143">
                  <c:v>127.4631606585933</c:v>
                </c:pt>
                <c:pt idx="144">
                  <c:v>126.80354272467036</c:v>
                </c:pt>
                <c:pt idx="145">
                  <c:v>127.13271128587074</c:v>
                </c:pt>
                <c:pt idx="146">
                  <c:v>126.50767526304666</c:v>
                </c:pt>
                <c:pt idx="147">
                  <c:v>127.49325972936451</c:v>
                </c:pt>
                <c:pt idx="148">
                  <c:v>127.87942440330194</c:v>
                </c:pt>
                <c:pt idx="149">
                  <c:v>128.2809588155055</c:v>
                </c:pt>
                <c:pt idx="150">
                  <c:v>128.62485670921095</c:v>
                </c:pt>
                <c:pt idx="151">
                  <c:v>129.18649256168709</c:v>
                </c:pt>
                <c:pt idx="152">
                  <c:v>127.29217232038219</c:v>
                </c:pt>
                <c:pt idx="153">
                  <c:v>121.51058910925963</c:v>
                </c:pt>
                <c:pt idx="154">
                  <c:v>120.94447041645586</c:v>
                </c:pt>
                <c:pt idx="155">
                  <c:v>122.67420637716056</c:v>
                </c:pt>
                <c:pt idx="156">
                  <c:v>121.69630677997579</c:v>
                </c:pt>
                <c:pt idx="157">
                  <c:v>123.48111763613426</c:v>
                </c:pt>
                <c:pt idx="158">
                  <c:v>122.03700264487578</c:v>
                </c:pt>
                <c:pt idx="159">
                  <c:v>122.08951591728518</c:v>
                </c:pt>
                <c:pt idx="160">
                  <c:v>122.5544504998367</c:v>
                </c:pt>
                <c:pt idx="161">
                  <c:v>118.6486157629474</c:v>
                </c:pt>
                <c:pt idx="162">
                  <c:v>117.36075977739495</c:v>
                </c:pt>
                <c:pt idx="163">
                  <c:v>116.64670735377936</c:v>
                </c:pt>
                <c:pt idx="164">
                  <c:v>117.69377077316187</c:v>
                </c:pt>
                <c:pt idx="165">
                  <c:v>119.36907224417391</c:v>
                </c:pt>
                <c:pt idx="166">
                  <c:v>120.79525587412185</c:v>
                </c:pt>
                <c:pt idx="167">
                  <c:v>121.33511793072091</c:v>
                </c:pt>
                <c:pt idx="168">
                  <c:v>120.67678080832016</c:v>
                </c:pt>
                <c:pt idx="169">
                  <c:v>119.56951924739514</c:v>
                </c:pt>
                <c:pt idx="170">
                  <c:v>118.31432395565831</c:v>
                </c:pt>
                <c:pt idx="171">
                  <c:v>118.87083656204571</c:v>
                </c:pt>
                <c:pt idx="172">
                  <c:v>120.72737286344628</c:v>
                </c:pt>
                <c:pt idx="173">
                  <c:v>121.97808531485551</c:v>
                </c:pt>
                <c:pt idx="174">
                  <c:v>123.29732118270135</c:v>
                </c:pt>
                <c:pt idx="175">
                  <c:v>121.7417755890132</c:v>
                </c:pt>
                <c:pt idx="176">
                  <c:v>124.41034639547617</c:v>
                </c:pt>
                <c:pt idx="177">
                  <c:v>125.76928742050964</c:v>
                </c:pt>
                <c:pt idx="178">
                  <c:v>125.83588961966304</c:v>
                </c:pt>
                <c:pt idx="179">
                  <c:v>125.86855031347864</c:v>
                </c:pt>
                <c:pt idx="180">
                  <c:v>125.89993019577204</c:v>
                </c:pt>
                <c:pt idx="181">
                  <c:v>126.90985008101133</c:v>
                </c:pt>
                <c:pt idx="182">
                  <c:v>126.71580713540101</c:v>
                </c:pt>
                <c:pt idx="183">
                  <c:v>127.22877215003427</c:v>
                </c:pt>
                <c:pt idx="184">
                  <c:v>130.45257475136248</c:v>
                </c:pt>
                <c:pt idx="185">
                  <c:v>129.14870862178276</c:v>
                </c:pt>
                <c:pt idx="186">
                  <c:v>129.47147312537223</c:v>
                </c:pt>
                <c:pt idx="187">
                  <c:v>128.90535443256849</c:v>
                </c:pt>
                <c:pt idx="188">
                  <c:v>129.23964623985756</c:v>
                </c:pt>
                <c:pt idx="189">
                  <c:v>128.8393926391762</c:v>
                </c:pt>
                <c:pt idx="190">
                  <c:v>127.4420272684773</c:v>
                </c:pt>
                <c:pt idx="191">
                  <c:v>126.98029471473124</c:v>
                </c:pt>
                <c:pt idx="192">
                  <c:v>127.34916843311923</c:v>
                </c:pt>
                <c:pt idx="193">
                  <c:v>126.71708794692319</c:v>
                </c:pt>
                <c:pt idx="194">
                  <c:v>124.85991123976152</c:v>
                </c:pt>
              </c:numCache>
            </c:numRef>
          </c:val>
          <c:smooth val="0"/>
        </c:ser>
        <c:ser>
          <c:idx val="2"/>
          <c:order val="2"/>
          <c:tx>
            <c:strRef>
              <c:f>Index_Charts!$L$1</c:f>
              <c:strCache>
                <c:ptCount val="1"/>
                <c:pt idx="0">
                  <c:v>Nifty 50</c:v>
                </c:pt>
              </c:strCache>
            </c:strRef>
          </c:tx>
          <c:spPr>
            <a:ln w="28575" cap="rnd">
              <a:solidFill>
                <a:srgbClr val="FF0000"/>
              </a:solidFill>
              <a:round/>
            </a:ln>
            <a:effectLst/>
          </c:spPr>
          <c:marker>
            <c:symbol val="none"/>
          </c:marker>
          <c:cat>
            <c:numRef>
              <c:f>Index_Charts!$A$250:$A$444</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Index_Charts!$L$250:$L$444</c:f>
              <c:numCache>
                <c:formatCode>0.00</c:formatCode>
                <c:ptCount val="195"/>
                <c:pt idx="0">
                  <c:v>100.43774251902178</c:v>
                </c:pt>
                <c:pt idx="1">
                  <c:v>99.355123796898525</c:v>
                </c:pt>
                <c:pt idx="2">
                  <c:v>98.248109329761434</c:v>
                </c:pt>
                <c:pt idx="3">
                  <c:v>98.755356707218851</c:v>
                </c:pt>
                <c:pt idx="4">
                  <c:v>99.164560807545186</c:v>
                </c:pt>
                <c:pt idx="5">
                  <c:v>99.443961132514929</c:v>
                </c:pt>
                <c:pt idx="6">
                  <c:v>99.931876032791564</c:v>
                </c:pt>
                <c:pt idx="7">
                  <c:v>99.623016694974936</c:v>
                </c:pt>
                <c:pt idx="8">
                  <c:v>99.37767835360944</c:v>
                </c:pt>
                <c:pt idx="9">
                  <c:v>98.849717607744054</c:v>
                </c:pt>
                <c:pt idx="10">
                  <c:v>100.22324408173036</c:v>
                </c:pt>
                <c:pt idx="11">
                  <c:v>100.25546487703163</c:v>
                </c:pt>
                <c:pt idx="12">
                  <c:v>100.39263340559998</c:v>
                </c:pt>
                <c:pt idx="13">
                  <c:v>100.40874380325062</c:v>
                </c:pt>
                <c:pt idx="14">
                  <c:v>100.91414999240511</c:v>
                </c:pt>
                <c:pt idx="15">
                  <c:v>100.55419767918214</c:v>
                </c:pt>
                <c:pt idx="16">
                  <c:v>99.71415551597002</c:v>
                </c:pt>
                <c:pt idx="17">
                  <c:v>99.882624245688163</c:v>
                </c:pt>
                <c:pt idx="18">
                  <c:v>99.245112795798406</c:v>
                </c:pt>
                <c:pt idx="19">
                  <c:v>98.149605755554632</c:v>
                </c:pt>
                <c:pt idx="20">
                  <c:v>98.063530202392641</c:v>
                </c:pt>
                <c:pt idx="21">
                  <c:v>98.059847825786761</c:v>
                </c:pt>
                <c:pt idx="22">
                  <c:v>99.709092248136969</c:v>
                </c:pt>
                <c:pt idx="23">
                  <c:v>100.28630478110574</c:v>
                </c:pt>
                <c:pt idx="24">
                  <c:v>100.4575352932783</c:v>
                </c:pt>
                <c:pt idx="25">
                  <c:v>100.66098660075214</c:v>
                </c:pt>
                <c:pt idx="26">
                  <c:v>101.84026770877925</c:v>
                </c:pt>
                <c:pt idx="27">
                  <c:v>101.9042490023061</c:v>
                </c:pt>
                <c:pt idx="28">
                  <c:v>100.74614155976269</c:v>
                </c:pt>
                <c:pt idx="29">
                  <c:v>100.24165596475964</c:v>
                </c:pt>
                <c:pt idx="30">
                  <c:v>99.713234921818554</c:v>
                </c:pt>
                <c:pt idx="31">
                  <c:v>99.365710629640375</c:v>
                </c:pt>
                <c:pt idx="32">
                  <c:v>98.92750781354286</c:v>
                </c:pt>
                <c:pt idx="33">
                  <c:v>98.728199179750618</c:v>
                </c:pt>
                <c:pt idx="34">
                  <c:v>97.959963360352788</c:v>
                </c:pt>
                <c:pt idx="35">
                  <c:v>97.62302590091646</c:v>
                </c:pt>
                <c:pt idx="36">
                  <c:v>98.829924833487553</c:v>
                </c:pt>
                <c:pt idx="37">
                  <c:v>99.330728051884705</c:v>
                </c:pt>
                <c:pt idx="38">
                  <c:v>99.347298746611074</c:v>
                </c:pt>
                <c:pt idx="39">
                  <c:v>100.16156427358219</c:v>
                </c:pt>
                <c:pt idx="40">
                  <c:v>99.749138093725691</c:v>
                </c:pt>
                <c:pt idx="41">
                  <c:v>99.485387869330864</c:v>
                </c:pt>
                <c:pt idx="42">
                  <c:v>99.355123796898525</c:v>
                </c:pt>
                <c:pt idx="43">
                  <c:v>100.00874564443893</c:v>
                </c:pt>
                <c:pt idx="44">
                  <c:v>100.00874564443893</c:v>
                </c:pt>
                <c:pt idx="45">
                  <c:v>101.14982209518024</c:v>
                </c:pt>
                <c:pt idx="46">
                  <c:v>101.75327156146578</c:v>
                </c:pt>
                <c:pt idx="47">
                  <c:v>101.80114245734198</c:v>
                </c:pt>
                <c:pt idx="48">
                  <c:v>101.59124699080789</c:v>
                </c:pt>
                <c:pt idx="49">
                  <c:v>102.81241513272666</c:v>
                </c:pt>
                <c:pt idx="50">
                  <c:v>104.0381862454028</c:v>
                </c:pt>
                <c:pt idx="51">
                  <c:v>104.41102687674626</c:v>
                </c:pt>
                <c:pt idx="52">
                  <c:v>104.42529608609397</c:v>
                </c:pt>
                <c:pt idx="53">
                  <c:v>105.19491279671902</c:v>
                </c:pt>
                <c:pt idx="54">
                  <c:v>105.52034282926202</c:v>
                </c:pt>
                <c:pt idx="55">
                  <c:v>106.1665999235907</c:v>
                </c:pt>
                <c:pt idx="56">
                  <c:v>106.06211248739936</c:v>
                </c:pt>
                <c:pt idx="57">
                  <c:v>106.06211248739936</c:v>
                </c:pt>
                <c:pt idx="58">
                  <c:v>105.47155133923434</c:v>
                </c:pt>
                <c:pt idx="59">
                  <c:v>104.52656144275517</c:v>
                </c:pt>
                <c:pt idx="60">
                  <c:v>105.71412789814548</c:v>
                </c:pt>
                <c:pt idx="61">
                  <c:v>105.3624609322857</c:v>
                </c:pt>
                <c:pt idx="62">
                  <c:v>106.51274332454166</c:v>
                </c:pt>
                <c:pt idx="63">
                  <c:v>107.00894357218149</c:v>
                </c:pt>
                <c:pt idx="64">
                  <c:v>107.42551242571956</c:v>
                </c:pt>
                <c:pt idx="65">
                  <c:v>107.83103414944006</c:v>
                </c:pt>
                <c:pt idx="66">
                  <c:v>107.19352269955031</c:v>
                </c:pt>
                <c:pt idx="67">
                  <c:v>106.77050968695197</c:v>
                </c:pt>
                <c:pt idx="68">
                  <c:v>107.39605341287269</c:v>
                </c:pt>
                <c:pt idx="69">
                  <c:v>106.83034830679721</c:v>
                </c:pt>
                <c:pt idx="70">
                  <c:v>107.45128906196059</c:v>
                </c:pt>
                <c:pt idx="71">
                  <c:v>106.6443882882012</c:v>
                </c:pt>
                <c:pt idx="72">
                  <c:v>106.75854196298293</c:v>
                </c:pt>
                <c:pt idx="73">
                  <c:v>107.18891972879298</c:v>
                </c:pt>
                <c:pt idx="74">
                  <c:v>107.62067838583023</c:v>
                </c:pt>
                <c:pt idx="75">
                  <c:v>108.51181352444867</c:v>
                </c:pt>
                <c:pt idx="76">
                  <c:v>108.51181352444867</c:v>
                </c:pt>
                <c:pt idx="77">
                  <c:v>108.19558943342034</c:v>
                </c:pt>
                <c:pt idx="78">
                  <c:v>108.19558943342034</c:v>
                </c:pt>
                <c:pt idx="79">
                  <c:v>106.73782859457495</c:v>
                </c:pt>
                <c:pt idx="80">
                  <c:v>106.56751867655385</c:v>
                </c:pt>
                <c:pt idx="81">
                  <c:v>107.9502510920548</c:v>
                </c:pt>
                <c:pt idx="82">
                  <c:v>107.1737299252938</c:v>
                </c:pt>
                <c:pt idx="83">
                  <c:v>108.21262042522244</c:v>
                </c:pt>
                <c:pt idx="84">
                  <c:v>108.21262042522244</c:v>
                </c:pt>
                <c:pt idx="85">
                  <c:v>108.1527818053772</c:v>
                </c:pt>
                <c:pt idx="86">
                  <c:v>108.1527818053772</c:v>
                </c:pt>
                <c:pt idx="87">
                  <c:v>107.93736277393431</c:v>
                </c:pt>
                <c:pt idx="88">
                  <c:v>107.82228850500113</c:v>
                </c:pt>
                <c:pt idx="89">
                  <c:v>106.77281117233063</c:v>
                </c:pt>
                <c:pt idx="90">
                  <c:v>105.84899494133515</c:v>
                </c:pt>
                <c:pt idx="91">
                  <c:v>104.57443233863137</c:v>
                </c:pt>
                <c:pt idx="92">
                  <c:v>104.04370981031157</c:v>
                </c:pt>
                <c:pt idx="93">
                  <c:v>103.83289374962601</c:v>
                </c:pt>
                <c:pt idx="94">
                  <c:v>102.62967719366081</c:v>
                </c:pt>
                <c:pt idx="95">
                  <c:v>103.30953597451796</c:v>
                </c:pt>
                <c:pt idx="96">
                  <c:v>102.71068947898974</c:v>
                </c:pt>
                <c:pt idx="97">
                  <c:v>103.63220422460657</c:v>
                </c:pt>
                <c:pt idx="98">
                  <c:v>105.01355574888034</c:v>
                </c:pt>
                <c:pt idx="99">
                  <c:v>108.89017772070095</c:v>
                </c:pt>
                <c:pt idx="100">
                  <c:v>107.79328978922997</c:v>
                </c:pt>
                <c:pt idx="101">
                  <c:v>108.058420904852</c:v>
                </c:pt>
                <c:pt idx="102">
                  <c:v>107.31412053339224</c:v>
                </c:pt>
                <c:pt idx="103">
                  <c:v>109.03609189370822</c:v>
                </c:pt>
                <c:pt idx="104">
                  <c:v>109.778551076865</c:v>
                </c:pt>
                <c:pt idx="105">
                  <c:v>109.81537484292363</c:v>
                </c:pt>
                <c:pt idx="106">
                  <c:v>109.19259289945732</c:v>
                </c:pt>
                <c:pt idx="107">
                  <c:v>109.97325673989992</c:v>
                </c:pt>
                <c:pt idx="108">
                  <c:v>109.76059949091143</c:v>
                </c:pt>
                <c:pt idx="109">
                  <c:v>111.28648429696526</c:v>
                </c:pt>
                <c:pt idx="110">
                  <c:v>110.67060680963495</c:v>
                </c:pt>
                <c:pt idx="111">
                  <c:v>110.67060680963495</c:v>
                </c:pt>
                <c:pt idx="112">
                  <c:v>109.03286981417808</c:v>
                </c:pt>
                <c:pt idx="113">
                  <c:v>109.28050964092226</c:v>
                </c:pt>
                <c:pt idx="114">
                  <c:v>109.75967889675999</c:v>
                </c:pt>
                <c:pt idx="115">
                  <c:v>110.15461378773861</c:v>
                </c:pt>
                <c:pt idx="116">
                  <c:v>109.60778086176819</c:v>
                </c:pt>
                <c:pt idx="117">
                  <c:v>109.68004750265821</c:v>
                </c:pt>
                <c:pt idx="118">
                  <c:v>108.84460831020341</c:v>
                </c:pt>
                <c:pt idx="119">
                  <c:v>107.45313025026353</c:v>
                </c:pt>
                <c:pt idx="120">
                  <c:v>107.63126521857207</c:v>
                </c:pt>
                <c:pt idx="121">
                  <c:v>107.63080492149635</c:v>
                </c:pt>
                <c:pt idx="122">
                  <c:v>108.92239851600223</c:v>
                </c:pt>
                <c:pt idx="123">
                  <c:v>107.93137891194979</c:v>
                </c:pt>
                <c:pt idx="124">
                  <c:v>107.7062936419165</c:v>
                </c:pt>
                <c:pt idx="125">
                  <c:v>108.59742878053498</c:v>
                </c:pt>
                <c:pt idx="126">
                  <c:v>109.06785239193376</c:v>
                </c:pt>
                <c:pt idx="127">
                  <c:v>109.01261674284584</c:v>
                </c:pt>
                <c:pt idx="128">
                  <c:v>108.52746362502359</c:v>
                </c:pt>
                <c:pt idx="129">
                  <c:v>109.23401963627326</c:v>
                </c:pt>
                <c:pt idx="130">
                  <c:v>109.64552522197826</c:v>
                </c:pt>
                <c:pt idx="131">
                  <c:v>109.70490354474778</c:v>
                </c:pt>
                <c:pt idx="132">
                  <c:v>109.9810817901874</c:v>
                </c:pt>
                <c:pt idx="133">
                  <c:v>108.73275612080037</c:v>
                </c:pt>
                <c:pt idx="134">
                  <c:v>106.40779559127462</c:v>
                </c:pt>
                <c:pt idx="135">
                  <c:v>106.38293954918505</c:v>
                </c:pt>
                <c:pt idx="136">
                  <c:v>105.85820088284979</c:v>
                </c:pt>
                <c:pt idx="137">
                  <c:v>106.6314999700807</c:v>
                </c:pt>
                <c:pt idx="138">
                  <c:v>106.35163934803522</c:v>
                </c:pt>
                <c:pt idx="139">
                  <c:v>106.68167235133556</c:v>
                </c:pt>
                <c:pt idx="140">
                  <c:v>107.36521350879859</c:v>
                </c:pt>
                <c:pt idx="141">
                  <c:v>107.59444145251346</c:v>
                </c:pt>
                <c:pt idx="142">
                  <c:v>106.76038315128584</c:v>
                </c:pt>
                <c:pt idx="143">
                  <c:v>105.12494764120763</c:v>
                </c:pt>
                <c:pt idx="144">
                  <c:v>104.45245361356221</c:v>
                </c:pt>
                <c:pt idx="145">
                  <c:v>104.31298359961518</c:v>
                </c:pt>
                <c:pt idx="146">
                  <c:v>103.76292859411464</c:v>
                </c:pt>
                <c:pt idx="147">
                  <c:v>103.58663481410903</c:v>
                </c:pt>
                <c:pt idx="148">
                  <c:v>103.88260583380513</c:v>
                </c:pt>
                <c:pt idx="149">
                  <c:v>103.00712079576159</c:v>
                </c:pt>
                <c:pt idx="150">
                  <c:v>102.05154406654056</c:v>
                </c:pt>
                <c:pt idx="151">
                  <c:v>102.35165775991825</c:v>
                </c:pt>
                <c:pt idx="152">
                  <c:v>101.08123783089607</c:v>
                </c:pt>
                <c:pt idx="153">
                  <c:v>101.24096091617531</c:v>
                </c:pt>
                <c:pt idx="154">
                  <c:v>100.00046029707575</c:v>
                </c:pt>
                <c:pt idx="155">
                  <c:v>100.78894918780581</c:v>
                </c:pt>
                <c:pt idx="156">
                  <c:v>99.935098112321697</c:v>
                </c:pt>
                <c:pt idx="157">
                  <c:v>101.56408946333966</c:v>
                </c:pt>
                <c:pt idx="158">
                  <c:v>102.27478814827089</c:v>
                </c:pt>
                <c:pt idx="159">
                  <c:v>102.27478814827089</c:v>
                </c:pt>
                <c:pt idx="160">
                  <c:v>100.58273609787759</c:v>
                </c:pt>
                <c:pt idx="161">
                  <c:v>101.53601134171994</c:v>
                </c:pt>
                <c:pt idx="162">
                  <c:v>101.53601134171994</c:v>
                </c:pt>
                <c:pt idx="163">
                  <c:v>101.70540066558958</c:v>
                </c:pt>
                <c:pt idx="164">
                  <c:v>101.76155690882895</c:v>
                </c:pt>
                <c:pt idx="165">
                  <c:v>101.42185766693825</c:v>
                </c:pt>
                <c:pt idx="166">
                  <c:v>100.51691361604782</c:v>
                </c:pt>
                <c:pt idx="167">
                  <c:v>98.884239888423991</c:v>
                </c:pt>
                <c:pt idx="168">
                  <c:v>99.694362741713519</c:v>
                </c:pt>
                <c:pt idx="169">
                  <c:v>101.79792037781186</c:v>
                </c:pt>
                <c:pt idx="170">
                  <c:v>102.23520259975788</c:v>
                </c:pt>
                <c:pt idx="171">
                  <c:v>101.68975056501468</c:v>
                </c:pt>
                <c:pt idx="172">
                  <c:v>100.78940948488156</c:v>
                </c:pt>
                <c:pt idx="173">
                  <c:v>101.47939480140484</c:v>
                </c:pt>
                <c:pt idx="174">
                  <c:v>101.47939480140484</c:v>
                </c:pt>
                <c:pt idx="175">
                  <c:v>99.404835881077645</c:v>
                </c:pt>
                <c:pt idx="176">
                  <c:v>99.835213646887695</c:v>
                </c:pt>
                <c:pt idx="177">
                  <c:v>99.865132956810328</c:v>
                </c:pt>
                <c:pt idx="178">
                  <c:v>100.77007700770078</c:v>
                </c:pt>
                <c:pt idx="179">
                  <c:v>101.29343478280883</c:v>
                </c:pt>
                <c:pt idx="180">
                  <c:v>101.29343478280883</c:v>
                </c:pt>
                <c:pt idx="181">
                  <c:v>101.59400877326227</c:v>
                </c:pt>
                <c:pt idx="182">
                  <c:v>101.10701446713708</c:v>
                </c:pt>
                <c:pt idx="183">
                  <c:v>101.96408762215134</c:v>
                </c:pt>
                <c:pt idx="184">
                  <c:v>101.29757745649042</c:v>
                </c:pt>
                <c:pt idx="185">
                  <c:v>99.586192928916333</c:v>
                </c:pt>
                <c:pt idx="186">
                  <c:v>99.798389880829092</c:v>
                </c:pt>
                <c:pt idx="187">
                  <c:v>98.547762726063411</c:v>
                </c:pt>
                <c:pt idx="188">
                  <c:v>103.78962582450714</c:v>
                </c:pt>
                <c:pt idx="189">
                  <c:v>106.7907627582842</c:v>
                </c:pt>
                <c:pt idx="190">
                  <c:v>106.68029146010838</c:v>
                </c:pt>
                <c:pt idx="191">
                  <c:v>105.31781211593965</c:v>
                </c:pt>
                <c:pt idx="192">
                  <c:v>106.52379045435924</c:v>
                </c:pt>
                <c:pt idx="193">
                  <c:v>105.98248109329762</c:v>
                </c:pt>
                <c:pt idx="194">
                  <c:v>105.63311561281652</c:v>
                </c:pt>
              </c:numCache>
            </c:numRef>
          </c:val>
          <c:smooth val="0"/>
        </c:ser>
        <c:ser>
          <c:idx val="3"/>
          <c:order val="3"/>
          <c:tx>
            <c:strRef>
              <c:f>Index_Charts!$M$1</c:f>
              <c:strCache>
                <c:ptCount val="1"/>
                <c:pt idx="0">
                  <c:v>SSE Composite </c:v>
                </c:pt>
              </c:strCache>
            </c:strRef>
          </c:tx>
          <c:spPr>
            <a:ln w="28575" cap="rnd">
              <a:solidFill>
                <a:schemeClr val="accent4"/>
              </a:solidFill>
              <a:round/>
            </a:ln>
            <a:effectLst/>
          </c:spPr>
          <c:marker>
            <c:symbol val="none"/>
          </c:marker>
          <c:cat>
            <c:numRef>
              <c:f>Index_Charts!$A$250:$A$444</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Index_Charts!$M$250:$M$444</c:f>
              <c:numCache>
                <c:formatCode>0.00</c:formatCode>
                <c:ptCount val="195"/>
                <c:pt idx="0">
                  <c:v>100</c:v>
                </c:pt>
                <c:pt idx="1">
                  <c:v>98.852999483539008</c:v>
                </c:pt>
                <c:pt idx="2">
                  <c:v>98.815788629517826</c:v>
                </c:pt>
                <c:pt idx="3">
                  <c:v>100.84093322255619</c:v>
                </c:pt>
                <c:pt idx="4">
                  <c:v>101.57155711384915</c:v>
                </c:pt>
                <c:pt idx="5">
                  <c:v>101.30582831040267</c:v>
                </c:pt>
                <c:pt idx="6">
                  <c:v>102.02289911046812</c:v>
                </c:pt>
                <c:pt idx="7">
                  <c:v>101.65211380105666</c:v>
                </c:pt>
                <c:pt idx="8">
                  <c:v>102.40326781870614</c:v>
                </c:pt>
                <c:pt idx="9">
                  <c:v>101.67885910238437</c:v>
                </c:pt>
                <c:pt idx="10">
                  <c:v>103.06544458950972</c:v>
                </c:pt>
                <c:pt idx="11">
                  <c:v>103.06853212804383</c:v>
                </c:pt>
                <c:pt idx="12">
                  <c:v>102.63607624375675</c:v>
                </c:pt>
                <c:pt idx="13">
                  <c:v>104.09439687942077</c:v>
                </c:pt>
                <c:pt idx="14">
                  <c:v>104.67597686511387</c:v>
                </c:pt>
                <c:pt idx="15">
                  <c:v>103.44072086406169</c:v>
                </c:pt>
                <c:pt idx="16">
                  <c:v>103.49284813801376</c:v>
                </c:pt>
                <c:pt idx="17">
                  <c:v>103.92149472151205</c:v>
                </c:pt>
                <c:pt idx="18">
                  <c:v>104.32363659110082</c:v>
                </c:pt>
                <c:pt idx="19">
                  <c:v>104.13333194327268</c:v>
                </c:pt>
                <c:pt idx="20">
                  <c:v>104.02414535329459</c:v>
                </c:pt>
                <c:pt idx="21">
                  <c:v>103.27519672031231</c:v>
                </c:pt>
                <c:pt idx="22">
                  <c:v>103.63595755396375</c:v>
                </c:pt>
                <c:pt idx="23">
                  <c:v>104.98561287238921</c:v>
                </c:pt>
                <c:pt idx="24">
                  <c:v>104.98561287238921</c:v>
                </c:pt>
                <c:pt idx="25">
                  <c:v>104.98561287238921</c:v>
                </c:pt>
                <c:pt idx="26">
                  <c:v>104.98561287238921</c:v>
                </c:pt>
                <c:pt idx="27">
                  <c:v>104.98561287238921</c:v>
                </c:pt>
                <c:pt idx="28">
                  <c:v>104.98561287238921</c:v>
                </c:pt>
                <c:pt idx="29">
                  <c:v>106.41566448641002</c:v>
                </c:pt>
                <c:pt idx="30">
                  <c:v>107.13734654532504</c:v>
                </c:pt>
                <c:pt idx="31">
                  <c:v>109.10912082941711</c:v>
                </c:pt>
                <c:pt idx="32">
                  <c:v>109.05426689805829</c:v>
                </c:pt>
                <c:pt idx="33">
                  <c:v>107.55801364611837</c:v>
                </c:pt>
                <c:pt idx="34">
                  <c:v>110.44393992371775</c:v>
                </c:pt>
                <c:pt idx="35">
                  <c:v>110.49562612073638</c:v>
                </c:pt>
                <c:pt idx="36">
                  <c:v>110.71909173437867</c:v>
                </c:pt>
                <c:pt idx="37">
                  <c:v>110.34144968354734</c:v>
                </c:pt>
                <c:pt idx="38">
                  <c:v>112.44358225042264</c:v>
                </c:pt>
                <c:pt idx="39">
                  <c:v>118.74123860818572</c:v>
                </c:pt>
                <c:pt idx="40">
                  <c:v>117.94862335879282</c:v>
                </c:pt>
                <c:pt idx="41">
                  <c:v>118.44214834940992</c:v>
                </c:pt>
                <c:pt idx="42">
                  <c:v>117.92608833728431</c:v>
                </c:pt>
                <c:pt idx="43">
                  <c:v>120.05332219146267</c:v>
                </c:pt>
                <c:pt idx="44">
                  <c:v>121.39940879651756</c:v>
                </c:pt>
                <c:pt idx="45">
                  <c:v>122.46890006640211</c:v>
                </c:pt>
                <c:pt idx="46">
                  <c:v>124.38766492267521</c:v>
                </c:pt>
                <c:pt idx="47">
                  <c:v>124.56084776590524</c:v>
                </c:pt>
                <c:pt idx="48">
                  <c:v>119.08519842046339</c:v>
                </c:pt>
                <c:pt idx="49">
                  <c:v>121.37603171904523</c:v>
                </c:pt>
                <c:pt idx="50">
                  <c:v>122.71189335882488</c:v>
                </c:pt>
                <c:pt idx="51">
                  <c:v>121.37438770502058</c:v>
                </c:pt>
                <c:pt idx="52">
                  <c:v>119.92019715336966</c:v>
                </c:pt>
                <c:pt idx="53">
                  <c:v>121.16587860921224</c:v>
                </c:pt>
                <c:pt idx="54">
                  <c:v>124.15982863760155</c:v>
                </c:pt>
                <c:pt idx="55">
                  <c:v>123.94161584925753</c:v>
                </c:pt>
                <c:pt idx="56">
                  <c:v>123.92818305173911</c:v>
                </c:pt>
                <c:pt idx="57">
                  <c:v>124.36184187311738</c:v>
                </c:pt>
                <c:pt idx="58">
                  <c:v>124.46986562390731</c:v>
                </c:pt>
                <c:pt idx="59">
                  <c:v>122.01916198590477</c:v>
                </c:pt>
                <c:pt idx="60">
                  <c:v>120.17722471185645</c:v>
                </c:pt>
                <c:pt idx="61">
                  <c:v>121.20469337935502</c:v>
                </c:pt>
                <c:pt idx="62">
                  <c:v>120.09093402451425</c:v>
                </c:pt>
                <c:pt idx="63">
                  <c:v>123.93291460429782</c:v>
                </c:pt>
                <c:pt idx="64">
                  <c:v>127.12482797999594</c:v>
                </c:pt>
                <c:pt idx="65">
                  <c:v>127.38394062944083</c:v>
                </c:pt>
                <c:pt idx="66">
                  <c:v>128.96668505823817</c:v>
                </c:pt>
                <c:pt idx="67">
                  <c:v>130.1806891706791</c:v>
                </c:pt>
                <c:pt idx="68">
                  <c:v>130.1806891706791</c:v>
                </c:pt>
                <c:pt idx="69">
                  <c:v>130.11007676342555</c:v>
                </c:pt>
                <c:pt idx="70">
                  <c:v>129.90373295438141</c:v>
                </c:pt>
                <c:pt idx="71">
                  <c:v>129.99459480267021</c:v>
                </c:pt>
                <c:pt idx="72">
                  <c:v>127.91078697748421</c:v>
                </c:pt>
                <c:pt idx="73">
                  <c:v>127.85717608111966</c:v>
                </c:pt>
                <c:pt idx="74">
                  <c:v>127.42259500797144</c:v>
                </c:pt>
                <c:pt idx="75">
                  <c:v>130.46245713534162</c:v>
                </c:pt>
                <c:pt idx="76">
                  <c:v>130.84418917228305</c:v>
                </c:pt>
                <c:pt idx="77">
                  <c:v>130.32624455871456</c:v>
                </c:pt>
                <c:pt idx="78">
                  <c:v>131.15210096972766</c:v>
                </c:pt>
                <c:pt idx="79">
                  <c:v>128.916442385729</c:v>
                </c:pt>
                <c:pt idx="80">
                  <c:v>128.25691207652602</c:v>
                </c:pt>
                <c:pt idx="81">
                  <c:v>128.37800774370703</c:v>
                </c:pt>
                <c:pt idx="82">
                  <c:v>125.25887206202664</c:v>
                </c:pt>
                <c:pt idx="83">
                  <c:v>123.7581278449462</c:v>
                </c:pt>
                <c:pt idx="84">
                  <c:v>122.7997879622887</c:v>
                </c:pt>
                <c:pt idx="85">
                  <c:v>123.43493874644331</c:v>
                </c:pt>
                <c:pt idx="86">
                  <c:v>123.43493874644331</c:v>
                </c:pt>
                <c:pt idx="87">
                  <c:v>123.43493874644331</c:v>
                </c:pt>
                <c:pt idx="88">
                  <c:v>123.43493874644331</c:v>
                </c:pt>
                <c:pt idx="89">
                  <c:v>116.54311166143255</c:v>
                </c:pt>
                <c:pt idx="90">
                  <c:v>117.34214257531188</c:v>
                </c:pt>
                <c:pt idx="91">
                  <c:v>116.03358760750247</c:v>
                </c:pt>
                <c:pt idx="92">
                  <c:v>114.31727706367867</c:v>
                </c:pt>
                <c:pt idx="93">
                  <c:v>117.85619769228546</c:v>
                </c:pt>
                <c:pt idx="94">
                  <c:v>116.43280233016935</c:v>
                </c:pt>
                <c:pt idx="95">
                  <c:v>115.62675428325799</c:v>
                </c:pt>
                <c:pt idx="96">
                  <c:v>117.83482550996511</c:v>
                </c:pt>
                <c:pt idx="97">
                  <c:v>118.51781309244649</c:v>
                </c:pt>
                <c:pt idx="98">
                  <c:v>115.5740255407603</c:v>
                </c:pt>
                <c:pt idx="99">
                  <c:v>115.10520085841588</c:v>
                </c:pt>
                <c:pt idx="100">
                  <c:v>116.52326319942772</c:v>
                </c:pt>
                <c:pt idx="101">
                  <c:v>115.95130671046425</c:v>
                </c:pt>
                <c:pt idx="102">
                  <c:v>114.3798698903242</c:v>
                </c:pt>
                <c:pt idx="103">
                  <c:v>114.39911688378344</c:v>
                </c:pt>
                <c:pt idx="104">
                  <c:v>115.97829259921022</c:v>
                </c:pt>
                <c:pt idx="105">
                  <c:v>116.68132913321165</c:v>
                </c:pt>
                <c:pt idx="106">
                  <c:v>116.87319759925833</c:v>
                </c:pt>
                <c:pt idx="107">
                  <c:v>116.51668714332915</c:v>
                </c:pt>
                <c:pt idx="108">
                  <c:v>116.23163115061735</c:v>
                </c:pt>
                <c:pt idx="109">
                  <c:v>115.88618771592721</c:v>
                </c:pt>
                <c:pt idx="110">
                  <c:v>114.77142591351041</c:v>
                </c:pt>
                <c:pt idx="111">
                  <c:v>114.73686152108988</c:v>
                </c:pt>
                <c:pt idx="112">
                  <c:v>113.38877002088297</c:v>
                </c:pt>
                <c:pt idx="113">
                  <c:v>113.38877002088297</c:v>
                </c:pt>
                <c:pt idx="114">
                  <c:v>114.3644321976538</c:v>
                </c:pt>
                <c:pt idx="115">
                  <c:v>117.31507649075982</c:v>
                </c:pt>
                <c:pt idx="116">
                  <c:v>116.66003714669738</c:v>
                </c:pt>
                <c:pt idx="117">
                  <c:v>116.71457029483186</c:v>
                </c:pt>
                <c:pt idx="118">
                  <c:v>115.56111401598142</c:v>
                </c:pt>
                <c:pt idx="119">
                  <c:v>115.78758697235168</c:v>
                </c:pt>
                <c:pt idx="120">
                  <c:v>115.88927525446128</c:v>
                </c:pt>
                <c:pt idx="121">
                  <c:v>116.99778178400382</c:v>
                </c:pt>
                <c:pt idx="122">
                  <c:v>119.77720803112879</c:v>
                </c:pt>
                <c:pt idx="123">
                  <c:v>120.37310296820716</c:v>
                </c:pt>
                <c:pt idx="124">
                  <c:v>120.62042683415828</c:v>
                </c:pt>
                <c:pt idx="125">
                  <c:v>119.57491411029169</c:v>
                </c:pt>
                <c:pt idx="126">
                  <c:v>119.34274725168972</c:v>
                </c:pt>
                <c:pt idx="127">
                  <c:v>120.16507504723532</c:v>
                </c:pt>
                <c:pt idx="128">
                  <c:v>119.44676121217566</c:v>
                </c:pt>
                <c:pt idx="129">
                  <c:v>122.09422526039577</c:v>
                </c:pt>
                <c:pt idx="130">
                  <c:v>122.05573127347733</c:v>
                </c:pt>
                <c:pt idx="131">
                  <c:v>120.90572341428832</c:v>
                </c:pt>
                <c:pt idx="132">
                  <c:v>120.50418301324513</c:v>
                </c:pt>
                <c:pt idx="133">
                  <c:v>120.7371518299079</c:v>
                </c:pt>
                <c:pt idx="134">
                  <c:v>117.62170515530718</c:v>
                </c:pt>
                <c:pt idx="135">
                  <c:v>117.41584252109949</c:v>
                </c:pt>
                <c:pt idx="136">
                  <c:v>116.89749692850062</c:v>
                </c:pt>
                <c:pt idx="137">
                  <c:v>116.99609767207613</c:v>
                </c:pt>
                <c:pt idx="138">
                  <c:v>117.50874936244333</c:v>
                </c:pt>
                <c:pt idx="139">
                  <c:v>117.97544885592662</c:v>
                </c:pt>
                <c:pt idx="140">
                  <c:v>117.79228163483961</c:v>
                </c:pt>
                <c:pt idx="141">
                  <c:v>117.5547416572303</c:v>
                </c:pt>
                <c:pt idx="142">
                  <c:v>116.33111404805973</c:v>
                </c:pt>
                <c:pt idx="143">
                  <c:v>117.25432816765414</c:v>
                </c:pt>
                <c:pt idx="144">
                  <c:v>115.76160353118172</c:v>
                </c:pt>
                <c:pt idx="145">
                  <c:v>116.28171343151439</c:v>
                </c:pt>
                <c:pt idx="146">
                  <c:v>117.21731780314815</c:v>
                </c:pt>
                <c:pt idx="147">
                  <c:v>117.78197647375832</c:v>
                </c:pt>
                <c:pt idx="148">
                  <c:v>118.06991951548902</c:v>
                </c:pt>
                <c:pt idx="149">
                  <c:v>117.92821352614541</c:v>
                </c:pt>
                <c:pt idx="150">
                  <c:v>118.38256286549237</c:v>
                </c:pt>
                <c:pt idx="151">
                  <c:v>117.58734125240184</c:v>
                </c:pt>
                <c:pt idx="152">
                  <c:v>116.63541703423077</c:v>
                </c:pt>
                <c:pt idx="153">
                  <c:v>114.99429005860708</c:v>
                </c:pt>
                <c:pt idx="154">
                  <c:v>113.1360730359245</c:v>
                </c:pt>
                <c:pt idx="155">
                  <c:v>111.37417117634416</c:v>
                </c:pt>
                <c:pt idx="156">
                  <c:v>111.01822209105751</c:v>
                </c:pt>
                <c:pt idx="157">
                  <c:v>112.05567513641306</c:v>
                </c:pt>
                <c:pt idx="158">
                  <c:v>111.26177675412285</c:v>
                </c:pt>
                <c:pt idx="159">
                  <c:v>112.87535647035803</c:v>
                </c:pt>
                <c:pt idx="160">
                  <c:v>112.16426025784556</c:v>
                </c:pt>
                <c:pt idx="161">
                  <c:v>112.63160131777748</c:v>
                </c:pt>
                <c:pt idx="162">
                  <c:v>112.90759518440221</c:v>
                </c:pt>
                <c:pt idx="163">
                  <c:v>113.22942095420177</c:v>
                </c:pt>
                <c:pt idx="164">
                  <c:v>115.60610386319237</c:v>
                </c:pt>
                <c:pt idx="165">
                  <c:v>115.48200085328337</c:v>
                </c:pt>
                <c:pt idx="166">
                  <c:v>115.49523316128661</c:v>
                </c:pt>
                <c:pt idx="167">
                  <c:v>115.619737150226</c:v>
                </c:pt>
                <c:pt idx="168">
                  <c:v>116.18066671585343</c:v>
                </c:pt>
                <c:pt idx="169">
                  <c:v>114.82303191472299</c:v>
                </c:pt>
                <c:pt idx="170">
                  <c:v>116.37185351754844</c:v>
                </c:pt>
                <c:pt idx="171">
                  <c:v>116.03354750959942</c:v>
                </c:pt>
                <c:pt idx="172">
                  <c:v>115.91978975867477</c:v>
                </c:pt>
                <c:pt idx="173">
                  <c:v>115.73205137664119</c:v>
                </c:pt>
                <c:pt idx="174">
                  <c:v>117.25051886686532</c:v>
                </c:pt>
                <c:pt idx="175">
                  <c:v>117.49303098445164</c:v>
                </c:pt>
                <c:pt idx="176">
                  <c:v>118.58601962551765</c:v>
                </c:pt>
                <c:pt idx="177">
                  <c:v>119.72692526071656</c:v>
                </c:pt>
                <c:pt idx="178">
                  <c:v>120.27771005687487</c:v>
                </c:pt>
                <c:pt idx="179">
                  <c:v>121.28569114349594</c:v>
                </c:pt>
                <c:pt idx="180">
                  <c:v>121.14386486044326</c:v>
                </c:pt>
                <c:pt idx="181">
                  <c:v>120.64705184177686</c:v>
                </c:pt>
                <c:pt idx="182">
                  <c:v>121.54616712164422</c:v>
                </c:pt>
                <c:pt idx="183">
                  <c:v>121.54616712164422</c:v>
                </c:pt>
                <c:pt idx="184">
                  <c:v>121.52688003028192</c:v>
                </c:pt>
                <c:pt idx="185">
                  <c:v>119.41628680586518</c:v>
                </c:pt>
                <c:pt idx="186">
                  <c:v>119.71866509269032</c:v>
                </c:pt>
                <c:pt idx="187">
                  <c:v>120.26479853209595</c:v>
                </c:pt>
                <c:pt idx="188">
                  <c:v>120.55222030108712</c:v>
                </c:pt>
                <c:pt idx="189">
                  <c:v>119.3745448888005</c:v>
                </c:pt>
                <c:pt idx="190">
                  <c:v>119.70591395952357</c:v>
                </c:pt>
                <c:pt idx="191">
                  <c:v>118.50666587540137</c:v>
                </c:pt>
                <c:pt idx="192">
                  <c:v>117.45024652190787</c:v>
                </c:pt>
                <c:pt idx="193">
                  <c:v>117.57374806327128</c:v>
                </c:pt>
                <c:pt idx="194">
                  <c:v>116.49198683505647</c:v>
                </c:pt>
              </c:numCache>
            </c:numRef>
          </c:val>
          <c:smooth val="0"/>
        </c:ser>
        <c:ser>
          <c:idx val="4"/>
          <c:order val="4"/>
          <c:tx>
            <c:strRef>
              <c:f>Index_Charts!$N$1</c:f>
              <c:strCache>
                <c:ptCount val="1"/>
                <c:pt idx="0">
                  <c:v>FTSE/JSE Africa All Share</c:v>
                </c:pt>
              </c:strCache>
            </c:strRef>
          </c:tx>
          <c:spPr>
            <a:ln w="28575" cap="rnd">
              <a:solidFill>
                <a:schemeClr val="accent5"/>
              </a:solidFill>
              <a:round/>
            </a:ln>
            <a:effectLst/>
          </c:spPr>
          <c:marker>
            <c:symbol val="none"/>
          </c:marker>
          <c:cat>
            <c:numRef>
              <c:f>Index_Charts!$A$250:$A$444</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Index_Charts!$N$250:$N$444</c:f>
              <c:numCache>
                <c:formatCode>0.00</c:formatCode>
                <c:ptCount val="195"/>
                <c:pt idx="0">
                  <c:v>100</c:v>
                </c:pt>
                <c:pt idx="1">
                  <c:v>97.207266416696029</c:v>
                </c:pt>
                <c:pt idx="2">
                  <c:v>97.976898890074239</c:v>
                </c:pt>
                <c:pt idx="3">
                  <c:v>98.987596151913465</c:v>
                </c:pt>
                <c:pt idx="4">
                  <c:v>98.525585330639714</c:v>
                </c:pt>
                <c:pt idx="5">
                  <c:v>98.91652631574955</c:v>
                </c:pt>
                <c:pt idx="6">
                  <c:v>100.92161345973196</c:v>
                </c:pt>
                <c:pt idx="7">
                  <c:v>101.01287789982187</c:v>
                </c:pt>
                <c:pt idx="8">
                  <c:v>101.73791158593816</c:v>
                </c:pt>
                <c:pt idx="9">
                  <c:v>101.41974702323952</c:v>
                </c:pt>
                <c:pt idx="10">
                  <c:v>101.51067014608</c:v>
                </c:pt>
                <c:pt idx="11">
                  <c:v>101.9907897436442</c:v>
                </c:pt>
                <c:pt idx="12">
                  <c:v>101.32611232447286</c:v>
                </c:pt>
                <c:pt idx="13">
                  <c:v>101.88604327220088</c:v>
                </c:pt>
                <c:pt idx="14">
                  <c:v>102.65884241117125</c:v>
                </c:pt>
                <c:pt idx="15">
                  <c:v>102.54378057396667</c:v>
                </c:pt>
                <c:pt idx="16">
                  <c:v>102.23428167699025</c:v>
                </c:pt>
                <c:pt idx="17">
                  <c:v>101.71081478874547</c:v>
                </c:pt>
                <c:pt idx="18">
                  <c:v>102.49042131063548</c:v>
                </c:pt>
                <c:pt idx="19">
                  <c:v>101.95424983588327</c:v>
                </c:pt>
                <c:pt idx="20">
                  <c:v>103.13033426715204</c:v>
                </c:pt>
                <c:pt idx="21">
                  <c:v>102.64484840394366</c:v>
                </c:pt>
                <c:pt idx="22">
                  <c:v>102.69240527403414</c:v>
                </c:pt>
                <c:pt idx="23">
                  <c:v>102.26270581904193</c:v>
                </c:pt>
                <c:pt idx="24">
                  <c:v>101.24195866041323</c:v>
                </c:pt>
                <c:pt idx="25">
                  <c:v>102.79225953156863</c:v>
                </c:pt>
                <c:pt idx="26">
                  <c:v>103.48412855827974</c:v>
                </c:pt>
                <c:pt idx="27">
                  <c:v>102.18441143443124</c:v>
                </c:pt>
                <c:pt idx="28">
                  <c:v>100.9619837055145</c:v>
                </c:pt>
                <c:pt idx="29">
                  <c:v>101.27478200256898</c:v>
                </c:pt>
                <c:pt idx="30">
                  <c:v>102.32029362385246</c:v>
                </c:pt>
                <c:pt idx="31">
                  <c:v>103.42523237067964</c:v>
                </c:pt>
                <c:pt idx="32">
                  <c:v>103.39468447685356</c:v>
                </c:pt>
                <c:pt idx="33">
                  <c:v>103.58677024001808</c:v>
                </c:pt>
                <c:pt idx="34">
                  <c:v>104.78435765800241</c:v>
                </c:pt>
                <c:pt idx="35">
                  <c:v>104.66042157231203</c:v>
                </c:pt>
                <c:pt idx="36">
                  <c:v>105.60276057391359</c:v>
                </c:pt>
                <c:pt idx="37">
                  <c:v>105.20874773355867</c:v>
                </c:pt>
                <c:pt idx="38">
                  <c:v>106.17425838398418</c:v>
                </c:pt>
                <c:pt idx="39">
                  <c:v>105.95663071331892</c:v>
                </c:pt>
                <c:pt idx="40">
                  <c:v>106.64798776415584</c:v>
                </c:pt>
                <c:pt idx="41">
                  <c:v>106.75256357697442</c:v>
                </c:pt>
                <c:pt idx="42">
                  <c:v>106.19153282922041</c:v>
                </c:pt>
                <c:pt idx="43">
                  <c:v>106.57272731065142</c:v>
                </c:pt>
                <c:pt idx="44">
                  <c:v>106.59931213196994</c:v>
                </c:pt>
                <c:pt idx="45">
                  <c:v>105.83760580360682</c:v>
                </c:pt>
                <c:pt idx="46">
                  <c:v>106.32764256347458</c:v>
                </c:pt>
                <c:pt idx="47">
                  <c:v>105.91811875033895</c:v>
                </c:pt>
                <c:pt idx="48">
                  <c:v>105.2182287682657</c:v>
                </c:pt>
                <c:pt idx="49">
                  <c:v>105.39241433790332</c:v>
                </c:pt>
                <c:pt idx="50">
                  <c:v>105.61834739497196</c:v>
                </c:pt>
                <c:pt idx="51">
                  <c:v>105.86352695249583</c:v>
                </c:pt>
                <c:pt idx="52">
                  <c:v>105.78834234726907</c:v>
                </c:pt>
                <c:pt idx="53">
                  <c:v>106.26383519989623</c:v>
                </c:pt>
                <c:pt idx="54">
                  <c:v>107.64740259469372</c:v>
                </c:pt>
                <c:pt idx="55">
                  <c:v>107.7987388706874</c:v>
                </c:pt>
                <c:pt idx="56">
                  <c:v>106.463809183937</c:v>
                </c:pt>
                <c:pt idx="57">
                  <c:v>106.463809183937</c:v>
                </c:pt>
                <c:pt idx="58">
                  <c:v>106.39139304084469</c:v>
                </c:pt>
                <c:pt idx="59">
                  <c:v>104.98749830763529</c:v>
                </c:pt>
                <c:pt idx="60">
                  <c:v>105.5019771749778</c:v>
                </c:pt>
                <c:pt idx="61">
                  <c:v>106.47069241513432</c:v>
                </c:pt>
                <c:pt idx="62">
                  <c:v>106.30041303179598</c:v>
                </c:pt>
                <c:pt idx="63">
                  <c:v>107.06467923953001</c:v>
                </c:pt>
                <c:pt idx="64">
                  <c:v>108.29169578924494</c:v>
                </c:pt>
                <c:pt idx="65">
                  <c:v>108.38339635693137</c:v>
                </c:pt>
                <c:pt idx="66">
                  <c:v>109.83970225000124</c:v>
                </c:pt>
                <c:pt idx="67">
                  <c:v>109.43203671966816</c:v>
                </c:pt>
                <c:pt idx="68">
                  <c:v>109.55593488121971</c:v>
                </c:pt>
                <c:pt idx="69">
                  <c:v>109.95303853888912</c:v>
                </c:pt>
                <c:pt idx="70">
                  <c:v>109.67351867365633</c:v>
                </c:pt>
                <c:pt idx="71">
                  <c:v>110.76057618902604</c:v>
                </c:pt>
                <c:pt idx="72">
                  <c:v>110.33305737201647</c:v>
                </c:pt>
                <c:pt idx="73">
                  <c:v>110.74853527494813</c:v>
                </c:pt>
                <c:pt idx="74">
                  <c:v>110.45282180243572</c:v>
                </c:pt>
                <c:pt idx="75">
                  <c:v>111.69159483518737</c:v>
                </c:pt>
                <c:pt idx="76">
                  <c:v>111.70234632854515</c:v>
                </c:pt>
                <c:pt idx="77">
                  <c:v>112.29805870125753</c:v>
                </c:pt>
                <c:pt idx="78">
                  <c:v>112.29805870125753</c:v>
                </c:pt>
                <c:pt idx="79">
                  <c:v>112.29805870125753</c:v>
                </c:pt>
                <c:pt idx="80">
                  <c:v>112.90926308468119</c:v>
                </c:pt>
                <c:pt idx="81">
                  <c:v>112.07091207174639</c:v>
                </c:pt>
                <c:pt idx="82">
                  <c:v>111.51037433779713</c:v>
                </c:pt>
                <c:pt idx="83">
                  <c:v>111.6755718865325</c:v>
                </c:pt>
                <c:pt idx="84">
                  <c:v>111.2365810175274</c:v>
                </c:pt>
                <c:pt idx="85">
                  <c:v>110.98195834943529</c:v>
                </c:pt>
                <c:pt idx="86">
                  <c:v>110.98195834943529</c:v>
                </c:pt>
                <c:pt idx="87">
                  <c:v>111.38994623494838</c:v>
                </c:pt>
                <c:pt idx="88">
                  <c:v>112.5131454546213</c:v>
                </c:pt>
                <c:pt idx="89">
                  <c:v>111.33167579563896</c:v>
                </c:pt>
                <c:pt idx="90">
                  <c:v>110.06267722424126</c:v>
                </c:pt>
                <c:pt idx="91">
                  <c:v>110.06267722424126</c:v>
                </c:pt>
                <c:pt idx="92">
                  <c:v>107.12825905827536</c:v>
                </c:pt>
                <c:pt idx="93">
                  <c:v>107.66805228828564</c:v>
                </c:pt>
                <c:pt idx="94">
                  <c:v>106.89616332864718</c:v>
                </c:pt>
                <c:pt idx="95">
                  <c:v>106.63183208101505</c:v>
                </c:pt>
                <c:pt idx="96">
                  <c:v>106.26952382072045</c:v>
                </c:pt>
                <c:pt idx="97">
                  <c:v>107.20721711531556</c:v>
                </c:pt>
                <c:pt idx="98">
                  <c:v>106.53499279251741</c:v>
                </c:pt>
                <c:pt idx="99">
                  <c:v>105.46128457401522</c:v>
                </c:pt>
                <c:pt idx="100">
                  <c:v>105.28489940432554</c:v>
                </c:pt>
                <c:pt idx="101">
                  <c:v>104.72950039118749</c:v>
                </c:pt>
                <c:pt idx="102">
                  <c:v>102.90950200675579</c:v>
                </c:pt>
                <c:pt idx="103">
                  <c:v>103.19833224807088</c:v>
                </c:pt>
                <c:pt idx="104">
                  <c:v>103.32080825441636</c:v>
                </c:pt>
                <c:pt idx="105">
                  <c:v>103.21363463808804</c:v>
                </c:pt>
                <c:pt idx="106">
                  <c:v>104.28633786691131</c:v>
                </c:pt>
                <c:pt idx="107">
                  <c:v>105.61984539845564</c:v>
                </c:pt>
                <c:pt idx="108">
                  <c:v>105.52469373413587</c:v>
                </c:pt>
                <c:pt idx="109">
                  <c:v>106.73049172817646</c:v>
                </c:pt>
                <c:pt idx="110">
                  <c:v>107.13641274812342</c:v>
                </c:pt>
                <c:pt idx="111">
                  <c:v>108.22293932554952</c:v>
                </c:pt>
                <c:pt idx="112">
                  <c:v>108.25545927459466</c:v>
                </c:pt>
                <c:pt idx="113">
                  <c:v>110.16931990262597</c:v>
                </c:pt>
                <c:pt idx="114">
                  <c:v>110.89217295075969</c:v>
                </c:pt>
                <c:pt idx="115">
                  <c:v>111.43558793602804</c:v>
                </c:pt>
                <c:pt idx="116">
                  <c:v>111.32735244381256</c:v>
                </c:pt>
                <c:pt idx="117">
                  <c:v>111.30285345012956</c:v>
                </c:pt>
                <c:pt idx="118">
                  <c:v>110.34744958270173</c:v>
                </c:pt>
                <c:pt idx="119">
                  <c:v>110.34744958270173</c:v>
                </c:pt>
                <c:pt idx="120">
                  <c:v>111.17288742636553</c:v>
                </c:pt>
                <c:pt idx="121">
                  <c:v>111.05082858554718</c:v>
                </c:pt>
                <c:pt idx="122">
                  <c:v>111.82618760388846</c:v>
                </c:pt>
                <c:pt idx="123">
                  <c:v>111.76522455072222</c:v>
                </c:pt>
                <c:pt idx="124">
                  <c:v>111.4135540113689</c:v>
                </c:pt>
                <c:pt idx="125">
                  <c:v>110.63083771009499</c:v>
                </c:pt>
                <c:pt idx="126">
                  <c:v>110.779670992926</c:v>
                </c:pt>
                <c:pt idx="127">
                  <c:v>110.10638479424068</c:v>
                </c:pt>
                <c:pt idx="128">
                  <c:v>110.36652542453228</c:v>
                </c:pt>
                <c:pt idx="129">
                  <c:v>110.87599830554946</c:v>
                </c:pt>
                <c:pt idx="130">
                  <c:v>110.15536381953723</c:v>
                </c:pt>
                <c:pt idx="131">
                  <c:v>110.00309840214226</c:v>
                </c:pt>
                <c:pt idx="132">
                  <c:v>109.65664243187783</c:v>
                </c:pt>
                <c:pt idx="133">
                  <c:v>109.20221643836967</c:v>
                </c:pt>
                <c:pt idx="134">
                  <c:v>109.47068141713405</c:v>
                </c:pt>
                <c:pt idx="135">
                  <c:v>108.01515296891017</c:v>
                </c:pt>
                <c:pt idx="136">
                  <c:v>109.21748090424801</c:v>
                </c:pt>
                <c:pt idx="137">
                  <c:v>108.60172562416494</c:v>
                </c:pt>
                <c:pt idx="138">
                  <c:v>108.60970865538829</c:v>
                </c:pt>
                <c:pt idx="139">
                  <c:v>109.10249491532109</c:v>
                </c:pt>
                <c:pt idx="140">
                  <c:v>110.07997063154689</c:v>
                </c:pt>
                <c:pt idx="141">
                  <c:v>109.28980223699325</c:v>
                </c:pt>
                <c:pt idx="142">
                  <c:v>109.73829310277479</c:v>
                </c:pt>
                <c:pt idx="143">
                  <c:v>110.45164615413205</c:v>
                </c:pt>
                <c:pt idx="144">
                  <c:v>110.00861636434173</c:v>
                </c:pt>
                <c:pt idx="145">
                  <c:v>110.56704930858605</c:v>
                </c:pt>
                <c:pt idx="146">
                  <c:v>109.44546186481334</c:v>
                </c:pt>
                <c:pt idx="147">
                  <c:v>109.34077227957826</c:v>
                </c:pt>
                <c:pt idx="148">
                  <c:v>109.16565756853936</c:v>
                </c:pt>
                <c:pt idx="149">
                  <c:v>110.04593371694864</c:v>
                </c:pt>
                <c:pt idx="150">
                  <c:v>108.54182444688591</c:v>
                </c:pt>
                <c:pt idx="151">
                  <c:v>107.67537164707947</c:v>
                </c:pt>
                <c:pt idx="152">
                  <c:v>108.50780649435707</c:v>
                </c:pt>
                <c:pt idx="153">
                  <c:v>106.70699772417242</c:v>
                </c:pt>
                <c:pt idx="154">
                  <c:v>104.24469716247799</c:v>
                </c:pt>
                <c:pt idx="155">
                  <c:v>104.4089655698121</c:v>
                </c:pt>
                <c:pt idx="156">
                  <c:v>104.71863512541324</c:v>
                </c:pt>
                <c:pt idx="157">
                  <c:v>105.30630758069404</c:v>
                </c:pt>
                <c:pt idx="158">
                  <c:v>105.30630758069404</c:v>
                </c:pt>
                <c:pt idx="159">
                  <c:v>104.99587954231633</c:v>
                </c:pt>
                <c:pt idx="160">
                  <c:v>104.65539662391731</c:v>
                </c:pt>
                <c:pt idx="161">
                  <c:v>102.45098020625423</c:v>
                </c:pt>
                <c:pt idx="162">
                  <c:v>102.09354519779903</c:v>
                </c:pt>
                <c:pt idx="163">
                  <c:v>102.15723878896088</c:v>
                </c:pt>
                <c:pt idx="164">
                  <c:v>103.12769853950347</c:v>
                </c:pt>
                <c:pt idx="165">
                  <c:v>102.92762974511567</c:v>
                </c:pt>
                <c:pt idx="166">
                  <c:v>103.60501175079442</c:v>
                </c:pt>
                <c:pt idx="167">
                  <c:v>102.75152900646719</c:v>
                </c:pt>
                <c:pt idx="168">
                  <c:v>102.38724869095354</c:v>
                </c:pt>
                <c:pt idx="169">
                  <c:v>102.03847934822056</c:v>
                </c:pt>
                <c:pt idx="170">
                  <c:v>102.19749526232695</c:v>
                </c:pt>
                <c:pt idx="171">
                  <c:v>102.87988325433103</c:v>
                </c:pt>
                <c:pt idx="172">
                  <c:v>103.17540710614929</c:v>
                </c:pt>
                <c:pt idx="173">
                  <c:v>104.78358021315641</c:v>
                </c:pt>
                <c:pt idx="174">
                  <c:v>103.88403860222243</c:v>
                </c:pt>
                <c:pt idx="175">
                  <c:v>103.80229312097838</c:v>
                </c:pt>
                <c:pt idx="176">
                  <c:v>104.11535688700464</c:v>
                </c:pt>
                <c:pt idx="177">
                  <c:v>105.19465891598401</c:v>
                </c:pt>
                <c:pt idx="178">
                  <c:v>105.4122107383716</c:v>
                </c:pt>
                <c:pt idx="179">
                  <c:v>105.2832307422171</c:v>
                </c:pt>
                <c:pt idx="180">
                  <c:v>104.92814703036926</c:v>
                </c:pt>
                <c:pt idx="181">
                  <c:v>106.64984604695842</c:v>
                </c:pt>
                <c:pt idx="182">
                  <c:v>107.67030877454593</c:v>
                </c:pt>
                <c:pt idx="183">
                  <c:v>108.31850815539643</c:v>
                </c:pt>
                <c:pt idx="184">
                  <c:v>109.70296676745639</c:v>
                </c:pt>
                <c:pt idx="185">
                  <c:v>107.88513005893792</c:v>
                </c:pt>
                <c:pt idx="186">
                  <c:v>106.60553169073776</c:v>
                </c:pt>
                <c:pt idx="187">
                  <c:v>106.42239602433668</c:v>
                </c:pt>
                <c:pt idx="188">
                  <c:v>106.95913636117129</c:v>
                </c:pt>
                <c:pt idx="189">
                  <c:v>105.47233946048362</c:v>
                </c:pt>
                <c:pt idx="190">
                  <c:v>105.47233946048362</c:v>
                </c:pt>
                <c:pt idx="191">
                  <c:v>104.05782596840237</c:v>
                </c:pt>
                <c:pt idx="192">
                  <c:v>104.80597441713442</c:v>
                </c:pt>
                <c:pt idx="193">
                  <c:v>104.68774591433771</c:v>
                </c:pt>
                <c:pt idx="194">
                  <c:v>103.95948867642102</c:v>
                </c:pt>
              </c:numCache>
            </c:numRef>
          </c:val>
          <c:smooth val="0"/>
        </c:ser>
        <c:ser>
          <c:idx val="5"/>
          <c:order val="5"/>
          <c:tx>
            <c:strRef>
              <c:f>Index_Charts!$O$1</c:f>
              <c:strCache>
                <c:ptCount val="1"/>
                <c:pt idx="0">
                  <c:v>MSCI Emerging Market Index</c:v>
                </c:pt>
              </c:strCache>
            </c:strRef>
          </c:tx>
          <c:spPr>
            <a:ln w="28575" cap="rnd">
              <a:solidFill>
                <a:schemeClr val="accent6"/>
              </a:solidFill>
              <a:round/>
            </a:ln>
            <a:effectLst/>
          </c:spPr>
          <c:marker>
            <c:symbol val="none"/>
          </c:marker>
          <c:cat>
            <c:numRef>
              <c:f>Index_Charts!$A$250:$A$444</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Index_Charts!$O$250:$O$444</c:f>
              <c:numCache>
                <c:formatCode>0.00</c:formatCode>
                <c:ptCount val="195"/>
                <c:pt idx="0">
                  <c:v>100.02692124500403</c:v>
                </c:pt>
                <c:pt idx="1">
                  <c:v>98.964567499844676</c:v>
                </c:pt>
                <c:pt idx="2">
                  <c:v>98.321563917248241</c:v>
                </c:pt>
                <c:pt idx="3">
                  <c:v>99.916129967487421</c:v>
                </c:pt>
                <c:pt idx="4">
                  <c:v>101.26115678518919</c:v>
                </c:pt>
                <c:pt idx="5">
                  <c:v>101.00747582265113</c:v>
                </c:pt>
                <c:pt idx="6">
                  <c:v>102.96444324794467</c:v>
                </c:pt>
                <c:pt idx="7">
                  <c:v>103.40553749301083</c:v>
                </c:pt>
                <c:pt idx="8">
                  <c:v>103.65818302304872</c:v>
                </c:pt>
                <c:pt idx="9">
                  <c:v>102.78841972291828</c:v>
                </c:pt>
                <c:pt idx="10">
                  <c:v>104.07235602311087</c:v>
                </c:pt>
                <c:pt idx="11">
                  <c:v>104.51552113317733</c:v>
                </c:pt>
                <c:pt idx="12">
                  <c:v>104.47410383317113</c:v>
                </c:pt>
                <c:pt idx="13">
                  <c:v>105.40702851581105</c:v>
                </c:pt>
                <c:pt idx="14">
                  <c:v>105.45362297831804</c:v>
                </c:pt>
                <c:pt idx="15">
                  <c:v>104.64391476319659</c:v>
                </c:pt>
                <c:pt idx="16">
                  <c:v>104.74020998571103</c:v>
                </c:pt>
                <c:pt idx="17">
                  <c:v>105.55613079583344</c:v>
                </c:pt>
                <c:pt idx="18">
                  <c:v>106.89183872103376</c:v>
                </c:pt>
                <c:pt idx="19">
                  <c:v>106.4486736109673</c:v>
                </c:pt>
                <c:pt idx="20">
                  <c:v>106.62366170349355</c:v>
                </c:pt>
                <c:pt idx="21">
                  <c:v>107.33603926360043</c:v>
                </c:pt>
                <c:pt idx="22">
                  <c:v>108.713164488807</c:v>
                </c:pt>
                <c:pt idx="23">
                  <c:v>108.74112116631119</c:v>
                </c:pt>
                <c:pt idx="24">
                  <c:v>108.51850317877778</c:v>
                </c:pt>
                <c:pt idx="25">
                  <c:v>108.91714469133757</c:v>
                </c:pt>
                <c:pt idx="26">
                  <c:v>108.56095591128414</c:v>
                </c:pt>
                <c:pt idx="27">
                  <c:v>107.88896021868335</c:v>
                </c:pt>
                <c:pt idx="28">
                  <c:v>107.27391331359108</c:v>
                </c:pt>
                <c:pt idx="29">
                  <c:v>107.20971649858146</c:v>
                </c:pt>
                <c:pt idx="30">
                  <c:v>107.90552713868584</c:v>
                </c:pt>
                <c:pt idx="31">
                  <c:v>107.87549959618133</c:v>
                </c:pt>
                <c:pt idx="32">
                  <c:v>107.60110998364016</c:v>
                </c:pt>
                <c:pt idx="33">
                  <c:v>106.71581519600738</c:v>
                </c:pt>
                <c:pt idx="34">
                  <c:v>107.34639358860196</c:v>
                </c:pt>
                <c:pt idx="35">
                  <c:v>107.37124396860568</c:v>
                </c:pt>
                <c:pt idx="36">
                  <c:v>108.65000310629749</c:v>
                </c:pt>
                <c:pt idx="37">
                  <c:v>108.82292033382343</c:v>
                </c:pt>
                <c:pt idx="38">
                  <c:v>109.61606162894242</c:v>
                </c:pt>
                <c:pt idx="39">
                  <c:v>110.54691544658206</c:v>
                </c:pt>
                <c:pt idx="40">
                  <c:v>110.26734867154011</c:v>
                </c:pt>
                <c:pt idx="41">
                  <c:v>109.88630951148295</c:v>
                </c:pt>
                <c:pt idx="42">
                  <c:v>108.81877860382284</c:v>
                </c:pt>
                <c:pt idx="43">
                  <c:v>108.87986912133198</c:v>
                </c:pt>
                <c:pt idx="44">
                  <c:v>109.09523908136427</c:v>
                </c:pt>
                <c:pt idx="45">
                  <c:v>109.25055395638756</c:v>
                </c:pt>
                <c:pt idx="46">
                  <c:v>109.3085381763963</c:v>
                </c:pt>
                <c:pt idx="47">
                  <c:v>108.05359398620804</c:v>
                </c:pt>
                <c:pt idx="48">
                  <c:v>106.66300813849946</c:v>
                </c:pt>
                <c:pt idx="49">
                  <c:v>107.80405475367063</c:v>
                </c:pt>
                <c:pt idx="50">
                  <c:v>108.87779825633169</c:v>
                </c:pt>
                <c:pt idx="51">
                  <c:v>108.76804241131521</c:v>
                </c:pt>
                <c:pt idx="52">
                  <c:v>108.53403466628011</c:v>
                </c:pt>
                <c:pt idx="53">
                  <c:v>109.47627824142143</c:v>
                </c:pt>
                <c:pt idx="54">
                  <c:v>110.71465551160719</c:v>
                </c:pt>
                <c:pt idx="55">
                  <c:v>110.88964360413345</c:v>
                </c:pt>
                <c:pt idx="56">
                  <c:v>110.63285634409495</c:v>
                </c:pt>
                <c:pt idx="57">
                  <c:v>110.75814367661374</c:v>
                </c:pt>
                <c:pt idx="58">
                  <c:v>109.71753401395765</c:v>
                </c:pt>
                <c:pt idx="59">
                  <c:v>108.48329847377249</c:v>
                </c:pt>
                <c:pt idx="60">
                  <c:v>108.76700697881505</c:v>
                </c:pt>
                <c:pt idx="61">
                  <c:v>108.10950734121643</c:v>
                </c:pt>
                <c:pt idx="62">
                  <c:v>108.22444034873367</c:v>
                </c:pt>
                <c:pt idx="63">
                  <c:v>109.56221913893435</c:v>
                </c:pt>
                <c:pt idx="64">
                  <c:v>110.80059640912008</c:v>
                </c:pt>
                <c:pt idx="65">
                  <c:v>110.90931682163641</c:v>
                </c:pt>
                <c:pt idx="66">
                  <c:v>111.8060013667709</c:v>
                </c:pt>
                <c:pt idx="67">
                  <c:v>111.90229658928534</c:v>
                </c:pt>
                <c:pt idx="68">
                  <c:v>112.35892232185385</c:v>
                </c:pt>
                <c:pt idx="69">
                  <c:v>112.70682764190603</c:v>
                </c:pt>
                <c:pt idx="70">
                  <c:v>113.21833129698275</c:v>
                </c:pt>
                <c:pt idx="71">
                  <c:v>113.48857917952328</c:v>
                </c:pt>
                <c:pt idx="72">
                  <c:v>112.60224895939035</c:v>
                </c:pt>
                <c:pt idx="73">
                  <c:v>112.76791815941519</c:v>
                </c:pt>
                <c:pt idx="74">
                  <c:v>112.47074903187062</c:v>
                </c:pt>
                <c:pt idx="75">
                  <c:v>113.22972105448446</c:v>
                </c:pt>
                <c:pt idx="76">
                  <c:v>113.52378388452857</c:v>
                </c:pt>
                <c:pt idx="77">
                  <c:v>113.12307150696846</c:v>
                </c:pt>
                <c:pt idx="78">
                  <c:v>113.12307150696846</c:v>
                </c:pt>
                <c:pt idx="79">
                  <c:v>112.76170556441426</c:v>
                </c:pt>
                <c:pt idx="80">
                  <c:v>112.8372921369256</c:v>
                </c:pt>
                <c:pt idx="81">
                  <c:v>112.2947255068442</c:v>
                </c:pt>
                <c:pt idx="82">
                  <c:v>111.48605272422292</c:v>
                </c:pt>
                <c:pt idx="83">
                  <c:v>111.62583611174388</c:v>
                </c:pt>
                <c:pt idx="84">
                  <c:v>112.12802087431922</c:v>
                </c:pt>
                <c:pt idx="85">
                  <c:v>111.74801714676221</c:v>
                </c:pt>
                <c:pt idx="86">
                  <c:v>111.87641077678148</c:v>
                </c:pt>
                <c:pt idx="87">
                  <c:v>111.71798960425772</c:v>
                </c:pt>
                <c:pt idx="88">
                  <c:v>112.11352481931702</c:v>
                </c:pt>
                <c:pt idx="89">
                  <c:v>110.02919919650441</c:v>
                </c:pt>
                <c:pt idx="90">
                  <c:v>109.45039242891757</c:v>
                </c:pt>
                <c:pt idx="91">
                  <c:v>108.81774317132266</c:v>
                </c:pt>
                <c:pt idx="92">
                  <c:v>106.48387831597259</c:v>
                </c:pt>
                <c:pt idx="93">
                  <c:v>107.00573629605088</c:v>
                </c:pt>
                <c:pt idx="94">
                  <c:v>105.2506782082876</c:v>
                </c:pt>
                <c:pt idx="95">
                  <c:v>105.04255627575638</c:v>
                </c:pt>
                <c:pt idx="96">
                  <c:v>105.19683571827953</c:v>
                </c:pt>
                <c:pt idx="97">
                  <c:v>104.69775725320467</c:v>
                </c:pt>
                <c:pt idx="98">
                  <c:v>103.16945888297542</c:v>
                </c:pt>
                <c:pt idx="99">
                  <c:v>102.93027397543955</c:v>
                </c:pt>
                <c:pt idx="100">
                  <c:v>103.4366004680155</c:v>
                </c:pt>
                <c:pt idx="101">
                  <c:v>103.33616351550043</c:v>
                </c:pt>
                <c:pt idx="102">
                  <c:v>101.97042804779556</c:v>
                </c:pt>
                <c:pt idx="103">
                  <c:v>102.16094762782416</c:v>
                </c:pt>
                <c:pt idx="104">
                  <c:v>102.41980575286298</c:v>
                </c:pt>
                <c:pt idx="105">
                  <c:v>102.31729793534758</c:v>
                </c:pt>
                <c:pt idx="106">
                  <c:v>102.03566029530535</c:v>
                </c:pt>
                <c:pt idx="107">
                  <c:v>103.01828573795274</c:v>
                </c:pt>
                <c:pt idx="108">
                  <c:v>103.33616351550043</c:v>
                </c:pt>
                <c:pt idx="109">
                  <c:v>104.40680072066102</c:v>
                </c:pt>
                <c:pt idx="110">
                  <c:v>104.10548986311584</c:v>
                </c:pt>
                <c:pt idx="111">
                  <c:v>104.02783242560419</c:v>
                </c:pt>
                <c:pt idx="112">
                  <c:v>103.8279939530742</c:v>
                </c:pt>
                <c:pt idx="113">
                  <c:v>104.30843463314628</c:v>
                </c:pt>
                <c:pt idx="114">
                  <c:v>105.82430781337364</c:v>
                </c:pt>
                <c:pt idx="115">
                  <c:v>106.84110252852616</c:v>
                </c:pt>
                <c:pt idx="116">
                  <c:v>106.26022489593905</c:v>
                </c:pt>
                <c:pt idx="117">
                  <c:v>105.82948497587444</c:v>
                </c:pt>
                <c:pt idx="118">
                  <c:v>105.1046822257657</c:v>
                </c:pt>
                <c:pt idx="119">
                  <c:v>104.67911946820188</c:v>
                </c:pt>
                <c:pt idx="120">
                  <c:v>106.01896912340285</c:v>
                </c:pt>
                <c:pt idx="121">
                  <c:v>107.50585019362589</c:v>
                </c:pt>
                <c:pt idx="122">
                  <c:v>109.11180600136676</c:v>
                </c:pt>
                <c:pt idx="123">
                  <c:v>109.05382178135807</c:v>
                </c:pt>
                <c:pt idx="124">
                  <c:v>109.03725486135558</c:v>
                </c:pt>
                <c:pt idx="125">
                  <c:v>108.23375924123506</c:v>
                </c:pt>
                <c:pt idx="126">
                  <c:v>108.50400712377561</c:v>
                </c:pt>
                <c:pt idx="127">
                  <c:v>109.22363271138353</c:v>
                </c:pt>
                <c:pt idx="128">
                  <c:v>109.22363271138353</c:v>
                </c:pt>
                <c:pt idx="129">
                  <c:v>110.1793369090269</c:v>
                </c:pt>
                <c:pt idx="130">
                  <c:v>110.13274244651991</c:v>
                </c:pt>
                <c:pt idx="131">
                  <c:v>109.71753401395765</c:v>
                </c:pt>
                <c:pt idx="132">
                  <c:v>110.23525026403532</c:v>
                </c:pt>
                <c:pt idx="133">
                  <c:v>109.7485969889623</c:v>
                </c:pt>
                <c:pt idx="134">
                  <c:v>108.33212532874983</c:v>
                </c:pt>
                <c:pt idx="135">
                  <c:v>107.94073184369111</c:v>
                </c:pt>
                <c:pt idx="136">
                  <c:v>108.61169210379175</c:v>
                </c:pt>
                <c:pt idx="137">
                  <c:v>109.25366025388806</c:v>
                </c:pt>
                <c:pt idx="138">
                  <c:v>108.81360144132206</c:v>
                </c:pt>
                <c:pt idx="139">
                  <c:v>109.52287270392844</c:v>
                </c:pt>
                <c:pt idx="140">
                  <c:v>109.79519145146929</c:v>
                </c:pt>
                <c:pt idx="141">
                  <c:v>109.22777444138418</c:v>
                </c:pt>
                <c:pt idx="142">
                  <c:v>108.89850690633477</c:v>
                </c:pt>
                <c:pt idx="143">
                  <c:v>109.4959514589244</c:v>
                </c:pt>
                <c:pt idx="144">
                  <c:v>109.11491229886722</c:v>
                </c:pt>
                <c:pt idx="145">
                  <c:v>109.28886495889334</c:v>
                </c:pt>
                <c:pt idx="146">
                  <c:v>109.27333347139098</c:v>
                </c:pt>
                <c:pt idx="147">
                  <c:v>109.16461305887468</c:v>
                </c:pt>
                <c:pt idx="148">
                  <c:v>108.58166456128725</c:v>
                </c:pt>
                <c:pt idx="149">
                  <c:v>108.27828283874175</c:v>
                </c:pt>
                <c:pt idx="150">
                  <c:v>108.01010582120152</c:v>
                </c:pt>
                <c:pt idx="151">
                  <c:v>107.37538569860632</c:v>
                </c:pt>
                <c:pt idx="152">
                  <c:v>106.08627223591294</c:v>
                </c:pt>
                <c:pt idx="153">
                  <c:v>103.93257263558988</c:v>
                </c:pt>
                <c:pt idx="154">
                  <c:v>100.74758226511213</c:v>
                </c:pt>
                <c:pt idx="155">
                  <c:v>100.713412992607</c:v>
                </c:pt>
                <c:pt idx="156">
                  <c:v>100.71134212760671</c:v>
                </c:pt>
                <c:pt idx="157">
                  <c:v>101.91762099028765</c:v>
                </c:pt>
                <c:pt idx="158">
                  <c:v>101.59560148273934</c:v>
                </c:pt>
                <c:pt idx="159">
                  <c:v>100.90082627513513</c:v>
                </c:pt>
                <c:pt idx="160">
                  <c:v>100.31994864254798</c:v>
                </c:pt>
                <c:pt idx="161">
                  <c:v>99.860216612479022</c:v>
                </c:pt>
                <c:pt idx="162">
                  <c:v>99.7659922549649</c:v>
                </c:pt>
                <c:pt idx="163">
                  <c:v>100.46490919256973</c:v>
                </c:pt>
                <c:pt idx="164">
                  <c:v>101.23734183768561</c:v>
                </c:pt>
                <c:pt idx="165">
                  <c:v>101.48377477272257</c:v>
                </c:pt>
                <c:pt idx="166">
                  <c:v>101.79751082026962</c:v>
                </c:pt>
                <c:pt idx="167">
                  <c:v>101.02300731015346</c:v>
                </c:pt>
                <c:pt idx="168">
                  <c:v>100.81592081012238</c:v>
                </c:pt>
                <c:pt idx="169">
                  <c:v>99.485390047422811</c:v>
                </c:pt>
                <c:pt idx="170">
                  <c:v>99.876783532481525</c:v>
                </c:pt>
                <c:pt idx="171">
                  <c:v>99.955476402493332</c:v>
                </c:pt>
                <c:pt idx="172">
                  <c:v>100.44523597506678</c:v>
                </c:pt>
                <c:pt idx="173">
                  <c:v>101.92072728778811</c:v>
                </c:pt>
                <c:pt idx="174">
                  <c:v>101.86170763527926</c:v>
                </c:pt>
                <c:pt idx="175">
                  <c:v>100.77553894261632</c:v>
                </c:pt>
                <c:pt idx="176">
                  <c:v>102.57097889788565</c:v>
                </c:pt>
                <c:pt idx="177">
                  <c:v>103.85491519807823</c:v>
                </c:pt>
                <c:pt idx="178">
                  <c:v>104.36745428565513</c:v>
                </c:pt>
                <c:pt idx="179">
                  <c:v>104.63873760069582</c:v>
                </c:pt>
                <c:pt idx="180">
                  <c:v>104.38505663815776</c:v>
                </c:pt>
                <c:pt idx="181">
                  <c:v>105.30762699579614</c:v>
                </c:pt>
                <c:pt idx="182">
                  <c:v>105.85537078837832</c:v>
                </c:pt>
                <c:pt idx="183">
                  <c:v>106.29853589844478</c:v>
                </c:pt>
                <c:pt idx="184">
                  <c:v>106.34720122595208</c:v>
                </c:pt>
                <c:pt idx="185">
                  <c:v>105.50332373832549</c:v>
                </c:pt>
                <c:pt idx="186">
                  <c:v>105.75493383586326</c:v>
                </c:pt>
                <c:pt idx="187">
                  <c:v>105.25896166828885</c:v>
                </c:pt>
                <c:pt idx="188">
                  <c:v>105.7445795108617</c:v>
                </c:pt>
                <c:pt idx="189">
                  <c:v>105.12021371326803</c:v>
                </c:pt>
                <c:pt idx="190">
                  <c:v>104.71846590320777</c:v>
                </c:pt>
                <c:pt idx="191">
                  <c:v>104.11895048561783</c:v>
                </c:pt>
                <c:pt idx="192">
                  <c:v>104.50620224067593</c:v>
                </c:pt>
                <c:pt idx="193">
                  <c:v>103.69856489055478</c:v>
                </c:pt>
                <c:pt idx="194">
                  <c:v>103.64679326554702</c:v>
                </c:pt>
              </c:numCache>
            </c:numRef>
          </c:val>
          <c:smooth val="0"/>
        </c:ser>
        <c:dLbls>
          <c:showLegendKey val="0"/>
          <c:showVal val="0"/>
          <c:showCatName val="0"/>
          <c:showSerName val="0"/>
          <c:showPercent val="0"/>
          <c:showBubbleSize val="0"/>
        </c:dLbls>
        <c:smooth val="0"/>
        <c:axId val="472655720"/>
        <c:axId val="472656504"/>
      </c:lineChart>
      <c:dateAx>
        <c:axId val="47265572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2656504"/>
        <c:crosses val="autoZero"/>
        <c:auto val="1"/>
        <c:lblOffset val="100"/>
        <c:baseTimeUnit val="days"/>
      </c:dateAx>
      <c:valAx>
        <c:axId val="472656504"/>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2655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9.6109905642183024E-2"/>
          <c:w val="0.70358192632314165"/>
          <c:h val="0.59485130561828914"/>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43377</c:v>
                </c:pt>
                <c:pt idx="1">
                  <c:v>43408</c:v>
                </c:pt>
                <c:pt idx="2">
                  <c:v>43438</c:v>
                </c:pt>
                <c:pt idx="3">
                  <c:v>43469</c:v>
                </c:pt>
                <c:pt idx="4">
                  <c:v>43500</c:v>
                </c:pt>
                <c:pt idx="5">
                  <c:v>43528</c:v>
                </c:pt>
                <c:pt idx="6">
                  <c:v>43559</c:v>
                </c:pt>
                <c:pt idx="7">
                  <c:v>43589</c:v>
                </c:pt>
                <c:pt idx="8">
                  <c:v>43626</c:v>
                </c:pt>
                <c:pt idx="9">
                  <c:v>43656</c:v>
                </c:pt>
                <c:pt idx="10">
                  <c:v>43687</c:v>
                </c:pt>
                <c:pt idx="11">
                  <c:v>43718</c:v>
                </c:pt>
              </c:numCache>
            </c:numRef>
          </c:cat>
          <c:val>
            <c:numRef>
              <c:f>'F2&amp;F3'!$D$4:$D$15</c:f>
              <c:numCache>
                <c:formatCode>#,##0</c:formatCode>
                <c:ptCount val="12"/>
                <c:pt idx="0">
                  <c:v>35504.011831545002</c:v>
                </c:pt>
                <c:pt idx="1">
                  <c:v>30545.684760111999</c:v>
                </c:pt>
                <c:pt idx="2">
                  <c:v>29995.870999999999</c:v>
                </c:pt>
                <c:pt idx="3">
                  <c:v>28951.701026940998</c:v>
                </c:pt>
                <c:pt idx="4">
                  <c:v>31963.520280000001</c:v>
                </c:pt>
                <c:pt idx="5">
                  <c:v>36696.025139999998</c:v>
                </c:pt>
                <c:pt idx="6">
                  <c:v>33690.283547368424</c:v>
                </c:pt>
                <c:pt idx="7">
                  <c:v>35826.525643726192</c:v>
                </c:pt>
                <c:pt idx="8">
                  <c:v>31370.00921</c:v>
                </c:pt>
                <c:pt idx="9" formatCode="#,##0;\-#,##0;0">
                  <c:v>30992.205150000002</c:v>
                </c:pt>
                <c:pt idx="10" formatCode="#,##0;\-#,##0;0">
                  <c:v>33681.668630389351</c:v>
                </c:pt>
                <c:pt idx="11" formatCode="#,##0;\-#,##0;0">
                  <c:v>37394.657610000002</c:v>
                </c:pt>
              </c:numCache>
            </c:numRef>
          </c:val>
        </c:ser>
        <c:dLbls>
          <c:showLegendKey val="0"/>
          <c:showVal val="0"/>
          <c:showCatName val="0"/>
          <c:showSerName val="0"/>
          <c:showPercent val="0"/>
          <c:showBubbleSize val="0"/>
        </c:dLbls>
        <c:gapWidth val="200"/>
        <c:overlap val="-100"/>
        <c:axId val="405344320"/>
        <c:axId val="405346280"/>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'F2&amp;F3'!$A$4:$A$15</c:f>
              <c:numCache>
                <c:formatCode>[$-409]mmm\-yy;@</c:formatCode>
                <c:ptCount val="12"/>
                <c:pt idx="0">
                  <c:v>43377</c:v>
                </c:pt>
                <c:pt idx="1">
                  <c:v>43408</c:v>
                </c:pt>
                <c:pt idx="2">
                  <c:v>43438</c:v>
                </c:pt>
                <c:pt idx="3">
                  <c:v>43469</c:v>
                </c:pt>
                <c:pt idx="4">
                  <c:v>43500</c:v>
                </c:pt>
                <c:pt idx="5">
                  <c:v>43528</c:v>
                </c:pt>
                <c:pt idx="6">
                  <c:v>43559</c:v>
                </c:pt>
                <c:pt idx="7">
                  <c:v>43589</c:v>
                </c:pt>
                <c:pt idx="8">
                  <c:v>43626</c:v>
                </c:pt>
                <c:pt idx="9">
                  <c:v>43656</c:v>
                </c:pt>
                <c:pt idx="10">
                  <c:v>43687</c:v>
                </c:pt>
                <c:pt idx="11">
                  <c:v>43718</c:v>
                </c:pt>
              </c:numCache>
            </c:numRef>
          </c:cat>
          <c:val>
            <c:numRef>
              <c:f>'F2&amp;F3'!$E$4:$E$15</c:f>
              <c:numCache>
                <c:formatCode>#,##0</c:formatCode>
                <c:ptCount val="12"/>
                <c:pt idx="0">
                  <c:v>10383.81</c:v>
                </c:pt>
                <c:pt idx="1">
                  <c:v>10841</c:v>
                </c:pt>
                <c:pt idx="2">
                  <c:v>10778.442499999999</c:v>
                </c:pt>
                <c:pt idx="3">
                  <c:v>10809.46</c:v>
                </c:pt>
                <c:pt idx="4">
                  <c:v>10833.84</c:v>
                </c:pt>
                <c:pt idx="5">
                  <c:v>11317.242109999999</c:v>
                </c:pt>
                <c:pt idx="6">
                  <c:v>11679.872727272725</c:v>
                </c:pt>
                <c:pt idx="7">
                  <c:v>11592.022727272728</c:v>
                </c:pt>
                <c:pt idx="8">
                  <c:v>11848.155000000001</c:v>
                </c:pt>
                <c:pt idx="9">
                  <c:v>11523.110869565215</c:v>
                </c:pt>
                <c:pt idx="10">
                  <c:v>10976.500000000002</c:v>
                </c:pt>
                <c:pt idx="11">
                  <c:v>11124.289473684214</c:v>
                </c:pt>
              </c:numCache>
            </c:numRef>
          </c:val>
          <c:smooth val="0"/>
        </c:ser>
        <c:dLbls>
          <c:showLegendKey val="0"/>
          <c:showVal val="0"/>
          <c:showCatName val="0"/>
          <c:showSerName val="0"/>
          <c:showPercent val="0"/>
          <c:showBubbleSize val="0"/>
        </c:dLbls>
        <c:marker val="1"/>
        <c:smooth val="0"/>
        <c:axId val="405348240"/>
        <c:axId val="405347456"/>
      </c:lineChart>
      <c:dateAx>
        <c:axId val="405344320"/>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405346280"/>
        <c:crosses val="autoZero"/>
        <c:auto val="1"/>
        <c:lblOffset val="100"/>
        <c:baseTimeUnit val="months"/>
      </c:dateAx>
      <c:valAx>
        <c:axId val="405346280"/>
        <c:scaling>
          <c:orientation val="minMax"/>
          <c:max val="39000"/>
          <c:min val="27000"/>
        </c:scaling>
        <c:delete val="0"/>
        <c:axPos val="l"/>
        <c:title>
          <c:tx>
            <c:rich>
              <a:bodyPr/>
              <a:lstStyle/>
              <a:p>
                <a:pPr>
                  <a:defRPr/>
                </a:pPr>
                <a:r>
                  <a:rPr lang="en-US" sz="800"/>
                  <a:t>Amount</a:t>
                </a:r>
                <a:r>
                  <a:rPr lang="en-US" sz="800" baseline="0"/>
                  <a:t> in </a:t>
                </a:r>
                <a:r>
                  <a:rPr lang="en-US" sz="800"/>
                  <a:t>Rs</a:t>
                </a:r>
                <a:r>
                  <a:rPr lang="en-US" sz="800" baseline="0"/>
                  <a:t> Crore</a:t>
                </a:r>
                <a:endParaRPr lang="en-US" sz="800"/>
              </a:p>
            </c:rich>
          </c:tx>
          <c:layout>
            <c:manualLayout>
              <c:xMode val="edge"/>
              <c:yMode val="edge"/>
              <c:x val="1.9645453886703676E-2"/>
              <c:y val="0.22572504918834332"/>
            </c:manualLayout>
          </c:layout>
          <c:overlay val="0"/>
        </c:title>
        <c:numFmt formatCode="#,##0" sourceLinked="1"/>
        <c:majorTickMark val="none"/>
        <c:minorTickMark val="none"/>
        <c:tickLblPos val="nextTo"/>
        <c:txPr>
          <a:bodyPr/>
          <a:lstStyle/>
          <a:p>
            <a:pPr>
              <a:defRPr lang="en-IN"/>
            </a:pPr>
            <a:endParaRPr lang="en-US"/>
          </a:p>
        </c:txPr>
        <c:crossAx val="405344320"/>
        <c:crosses val="autoZero"/>
        <c:crossBetween val="between"/>
        <c:majorUnit val="2000"/>
      </c:valAx>
      <c:valAx>
        <c:axId val="405347456"/>
        <c:scaling>
          <c:orientation val="minMax"/>
          <c:min val="10000"/>
        </c:scaling>
        <c:delete val="0"/>
        <c:axPos val="r"/>
        <c:numFmt formatCode="#,##0" sourceLinked="1"/>
        <c:majorTickMark val="none"/>
        <c:minorTickMark val="none"/>
        <c:tickLblPos val="nextTo"/>
        <c:txPr>
          <a:bodyPr/>
          <a:lstStyle/>
          <a:p>
            <a:pPr>
              <a:defRPr lang="en-IN"/>
            </a:pPr>
            <a:endParaRPr lang="en-US"/>
          </a:p>
        </c:txPr>
        <c:crossAx val="405348240"/>
        <c:crosses val="max"/>
        <c:crossBetween val="between"/>
        <c:majorUnit val="500"/>
      </c:valAx>
      <c:dateAx>
        <c:axId val="405348240"/>
        <c:scaling>
          <c:orientation val="minMax"/>
        </c:scaling>
        <c:delete val="1"/>
        <c:axPos val="b"/>
        <c:numFmt formatCode="[$-409]mmm\-yy;@" sourceLinked="1"/>
        <c:majorTickMark val="out"/>
        <c:minorTickMark val="none"/>
        <c:tickLblPos val="none"/>
        <c:crossAx val="405347456"/>
        <c:crosses val="autoZero"/>
        <c:auto val="1"/>
        <c:lblOffset val="100"/>
        <c:baseTimeUnit val="months"/>
      </c:dateAx>
      <c:spPr>
        <a:ln>
          <a:solidFill>
            <a:schemeClr val="accent2">
              <a:lumMod val="75000"/>
            </a:schemeClr>
          </a:solidFill>
        </a:ln>
      </c:spPr>
    </c:plotArea>
    <c:legend>
      <c:legendPos val="b"/>
      <c:layout>
        <c:manualLayout>
          <c:xMode val="edge"/>
          <c:yMode val="edge"/>
          <c:x val="8.1572412195751925E-2"/>
          <c:y val="0.89301346029051154"/>
          <c:w val="0.86648142958545427"/>
          <c:h val="7.2640792155546904E-2"/>
        </c:manualLayout>
      </c:layout>
      <c:overlay val="0"/>
      <c:spPr>
        <a:ln w="3175">
          <a:solidFill>
            <a:srgbClr val="EEECE1">
              <a:lumMod val="10000"/>
            </a:srgbClr>
          </a:solidFill>
        </a:ln>
      </c:spPr>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097787114319198E-2"/>
          <c:y val="1.8517540468845298E-2"/>
          <c:w val="0.93431320582732102"/>
          <c:h val="0.81830619588841003"/>
        </c:manualLayout>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Yield'!$A$1979:$A$2282</c:f>
              <c:numCache>
                <c:formatCode>[$-409]mmm\-yy;@</c:formatCode>
                <c:ptCount val="304"/>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pt idx="66">
                  <c:v>43405</c:v>
                </c:pt>
                <c:pt idx="67">
                  <c:v>43406</c:v>
                </c:pt>
                <c:pt idx="68">
                  <c:v>43409</c:v>
                </c:pt>
                <c:pt idx="69">
                  <c:v>43410</c:v>
                </c:pt>
                <c:pt idx="70">
                  <c:v>43411</c:v>
                </c:pt>
                <c:pt idx="71">
                  <c:v>43412</c:v>
                </c:pt>
                <c:pt idx="72">
                  <c:v>43413</c:v>
                </c:pt>
                <c:pt idx="73">
                  <c:v>43416</c:v>
                </c:pt>
                <c:pt idx="74">
                  <c:v>43417</c:v>
                </c:pt>
                <c:pt idx="75">
                  <c:v>43418</c:v>
                </c:pt>
                <c:pt idx="76">
                  <c:v>43419</c:v>
                </c:pt>
                <c:pt idx="77">
                  <c:v>43420</c:v>
                </c:pt>
                <c:pt idx="78">
                  <c:v>43423</c:v>
                </c:pt>
                <c:pt idx="79">
                  <c:v>43424</c:v>
                </c:pt>
                <c:pt idx="80">
                  <c:v>43425</c:v>
                </c:pt>
                <c:pt idx="81">
                  <c:v>43426</c:v>
                </c:pt>
                <c:pt idx="82">
                  <c:v>43427</c:v>
                </c:pt>
                <c:pt idx="83">
                  <c:v>43430</c:v>
                </c:pt>
                <c:pt idx="84">
                  <c:v>43431</c:v>
                </c:pt>
                <c:pt idx="85">
                  <c:v>43432</c:v>
                </c:pt>
                <c:pt idx="86">
                  <c:v>43433</c:v>
                </c:pt>
                <c:pt idx="87">
                  <c:v>43434</c:v>
                </c:pt>
                <c:pt idx="88">
                  <c:v>43437</c:v>
                </c:pt>
                <c:pt idx="89">
                  <c:v>43438</c:v>
                </c:pt>
                <c:pt idx="90">
                  <c:v>43439</c:v>
                </c:pt>
                <c:pt idx="91">
                  <c:v>43440</c:v>
                </c:pt>
                <c:pt idx="92">
                  <c:v>43441</c:v>
                </c:pt>
                <c:pt idx="93">
                  <c:v>43444</c:v>
                </c:pt>
                <c:pt idx="94">
                  <c:v>43445</c:v>
                </c:pt>
                <c:pt idx="95">
                  <c:v>43446</c:v>
                </c:pt>
                <c:pt idx="96">
                  <c:v>43447</c:v>
                </c:pt>
                <c:pt idx="97">
                  <c:v>43448</c:v>
                </c:pt>
                <c:pt idx="98">
                  <c:v>43451</c:v>
                </c:pt>
                <c:pt idx="99">
                  <c:v>43452</c:v>
                </c:pt>
                <c:pt idx="100">
                  <c:v>43453</c:v>
                </c:pt>
                <c:pt idx="101">
                  <c:v>43454</c:v>
                </c:pt>
                <c:pt idx="102">
                  <c:v>43455</c:v>
                </c:pt>
                <c:pt idx="103">
                  <c:v>43458</c:v>
                </c:pt>
                <c:pt idx="104">
                  <c:v>43459</c:v>
                </c:pt>
                <c:pt idx="105">
                  <c:v>43460</c:v>
                </c:pt>
                <c:pt idx="106">
                  <c:v>43461</c:v>
                </c:pt>
                <c:pt idx="107">
                  <c:v>43462</c:v>
                </c:pt>
                <c:pt idx="108">
                  <c:v>43465</c:v>
                </c:pt>
                <c:pt idx="109">
                  <c:v>43466</c:v>
                </c:pt>
                <c:pt idx="110">
                  <c:v>43467</c:v>
                </c:pt>
                <c:pt idx="111">
                  <c:v>43468</c:v>
                </c:pt>
                <c:pt idx="112">
                  <c:v>43469</c:v>
                </c:pt>
                <c:pt idx="113">
                  <c:v>43472</c:v>
                </c:pt>
                <c:pt idx="114">
                  <c:v>43473</c:v>
                </c:pt>
                <c:pt idx="115">
                  <c:v>43474</c:v>
                </c:pt>
                <c:pt idx="116">
                  <c:v>43475</c:v>
                </c:pt>
                <c:pt idx="117">
                  <c:v>43476</c:v>
                </c:pt>
                <c:pt idx="118">
                  <c:v>43479</c:v>
                </c:pt>
                <c:pt idx="119">
                  <c:v>43480</c:v>
                </c:pt>
                <c:pt idx="120">
                  <c:v>43481</c:v>
                </c:pt>
                <c:pt idx="121">
                  <c:v>43482</c:v>
                </c:pt>
                <c:pt idx="122">
                  <c:v>43483</c:v>
                </c:pt>
                <c:pt idx="123">
                  <c:v>43486</c:v>
                </c:pt>
                <c:pt idx="124">
                  <c:v>43487</c:v>
                </c:pt>
                <c:pt idx="125">
                  <c:v>43488</c:v>
                </c:pt>
                <c:pt idx="126">
                  <c:v>43489</c:v>
                </c:pt>
                <c:pt idx="127">
                  <c:v>43490</c:v>
                </c:pt>
                <c:pt idx="128">
                  <c:v>43493</c:v>
                </c:pt>
                <c:pt idx="129">
                  <c:v>43494</c:v>
                </c:pt>
                <c:pt idx="130">
                  <c:v>43495</c:v>
                </c:pt>
                <c:pt idx="131">
                  <c:v>43496</c:v>
                </c:pt>
                <c:pt idx="132">
                  <c:v>43497</c:v>
                </c:pt>
                <c:pt idx="133">
                  <c:v>43500</c:v>
                </c:pt>
                <c:pt idx="134">
                  <c:v>43501</c:v>
                </c:pt>
                <c:pt idx="135">
                  <c:v>43502</c:v>
                </c:pt>
                <c:pt idx="136">
                  <c:v>43503</c:v>
                </c:pt>
                <c:pt idx="137">
                  <c:v>43504</c:v>
                </c:pt>
                <c:pt idx="138">
                  <c:v>43507</c:v>
                </c:pt>
                <c:pt idx="139">
                  <c:v>43508</c:v>
                </c:pt>
                <c:pt idx="140">
                  <c:v>43509</c:v>
                </c:pt>
                <c:pt idx="141">
                  <c:v>43510</c:v>
                </c:pt>
                <c:pt idx="142">
                  <c:v>43511</c:v>
                </c:pt>
                <c:pt idx="143">
                  <c:v>43514</c:v>
                </c:pt>
                <c:pt idx="144">
                  <c:v>43515</c:v>
                </c:pt>
                <c:pt idx="145">
                  <c:v>43516</c:v>
                </c:pt>
                <c:pt idx="146">
                  <c:v>43517</c:v>
                </c:pt>
                <c:pt idx="147">
                  <c:v>43518</c:v>
                </c:pt>
                <c:pt idx="148">
                  <c:v>43521</c:v>
                </c:pt>
                <c:pt idx="149">
                  <c:v>43522</c:v>
                </c:pt>
                <c:pt idx="150">
                  <c:v>43523</c:v>
                </c:pt>
                <c:pt idx="151">
                  <c:v>43524</c:v>
                </c:pt>
                <c:pt idx="152">
                  <c:v>43525</c:v>
                </c:pt>
                <c:pt idx="153">
                  <c:v>43528</c:v>
                </c:pt>
                <c:pt idx="154">
                  <c:v>43529</c:v>
                </c:pt>
                <c:pt idx="155">
                  <c:v>43530</c:v>
                </c:pt>
                <c:pt idx="156">
                  <c:v>43531</c:v>
                </c:pt>
                <c:pt idx="157">
                  <c:v>43532</c:v>
                </c:pt>
                <c:pt idx="158">
                  <c:v>43535</c:v>
                </c:pt>
                <c:pt idx="159">
                  <c:v>43536</c:v>
                </c:pt>
                <c:pt idx="160">
                  <c:v>43537</c:v>
                </c:pt>
                <c:pt idx="161">
                  <c:v>43538</c:v>
                </c:pt>
                <c:pt idx="162">
                  <c:v>43539</c:v>
                </c:pt>
                <c:pt idx="163">
                  <c:v>43542</c:v>
                </c:pt>
                <c:pt idx="164">
                  <c:v>43543</c:v>
                </c:pt>
                <c:pt idx="165">
                  <c:v>43544</c:v>
                </c:pt>
                <c:pt idx="166">
                  <c:v>43545</c:v>
                </c:pt>
                <c:pt idx="167">
                  <c:v>43546</c:v>
                </c:pt>
                <c:pt idx="168">
                  <c:v>43549</c:v>
                </c:pt>
                <c:pt idx="169">
                  <c:v>43550</c:v>
                </c:pt>
                <c:pt idx="170">
                  <c:v>43551</c:v>
                </c:pt>
                <c:pt idx="171">
                  <c:v>43552</c:v>
                </c:pt>
                <c:pt idx="172">
                  <c:v>43553</c:v>
                </c:pt>
                <c:pt idx="173">
                  <c:v>43556</c:v>
                </c:pt>
                <c:pt idx="174">
                  <c:v>43557</c:v>
                </c:pt>
                <c:pt idx="175">
                  <c:v>43558</c:v>
                </c:pt>
                <c:pt idx="176">
                  <c:v>43559</c:v>
                </c:pt>
                <c:pt idx="177">
                  <c:v>43560</c:v>
                </c:pt>
                <c:pt idx="178">
                  <c:v>43563</c:v>
                </c:pt>
                <c:pt idx="179">
                  <c:v>43564</c:v>
                </c:pt>
                <c:pt idx="180">
                  <c:v>43565</c:v>
                </c:pt>
                <c:pt idx="181">
                  <c:v>43566</c:v>
                </c:pt>
                <c:pt idx="182">
                  <c:v>43567</c:v>
                </c:pt>
                <c:pt idx="183">
                  <c:v>43570</c:v>
                </c:pt>
                <c:pt idx="184">
                  <c:v>43571</c:v>
                </c:pt>
                <c:pt idx="185">
                  <c:v>43572</c:v>
                </c:pt>
                <c:pt idx="186">
                  <c:v>43573</c:v>
                </c:pt>
                <c:pt idx="187">
                  <c:v>43574</c:v>
                </c:pt>
                <c:pt idx="188">
                  <c:v>43577</c:v>
                </c:pt>
                <c:pt idx="189">
                  <c:v>43578</c:v>
                </c:pt>
                <c:pt idx="190">
                  <c:v>43579</c:v>
                </c:pt>
                <c:pt idx="191">
                  <c:v>43580</c:v>
                </c:pt>
                <c:pt idx="192">
                  <c:v>43581</c:v>
                </c:pt>
                <c:pt idx="193">
                  <c:v>43584</c:v>
                </c:pt>
                <c:pt idx="194">
                  <c:v>43585</c:v>
                </c:pt>
                <c:pt idx="195">
                  <c:v>43586</c:v>
                </c:pt>
                <c:pt idx="196">
                  <c:v>43587</c:v>
                </c:pt>
                <c:pt idx="197">
                  <c:v>43588</c:v>
                </c:pt>
                <c:pt idx="198">
                  <c:v>43591</c:v>
                </c:pt>
                <c:pt idx="199">
                  <c:v>43592</c:v>
                </c:pt>
                <c:pt idx="200">
                  <c:v>43593</c:v>
                </c:pt>
                <c:pt idx="201">
                  <c:v>43594</c:v>
                </c:pt>
                <c:pt idx="202">
                  <c:v>43595</c:v>
                </c:pt>
                <c:pt idx="203">
                  <c:v>43598</c:v>
                </c:pt>
                <c:pt idx="204">
                  <c:v>43599</c:v>
                </c:pt>
                <c:pt idx="205">
                  <c:v>43600</c:v>
                </c:pt>
                <c:pt idx="206">
                  <c:v>43601</c:v>
                </c:pt>
                <c:pt idx="207">
                  <c:v>43602</c:v>
                </c:pt>
                <c:pt idx="208">
                  <c:v>43605</c:v>
                </c:pt>
                <c:pt idx="209">
                  <c:v>43606</c:v>
                </c:pt>
                <c:pt idx="210">
                  <c:v>43607</c:v>
                </c:pt>
                <c:pt idx="211">
                  <c:v>43608</c:v>
                </c:pt>
                <c:pt idx="212">
                  <c:v>43609</c:v>
                </c:pt>
                <c:pt idx="213">
                  <c:v>43612</c:v>
                </c:pt>
                <c:pt idx="214">
                  <c:v>43613</c:v>
                </c:pt>
                <c:pt idx="215">
                  <c:v>43614</c:v>
                </c:pt>
                <c:pt idx="216">
                  <c:v>43615</c:v>
                </c:pt>
                <c:pt idx="217">
                  <c:v>43616</c:v>
                </c:pt>
                <c:pt idx="218">
                  <c:v>43619</c:v>
                </c:pt>
                <c:pt idx="219">
                  <c:v>43620</c:v>
                </c:pt>
                <c:pt idx="220">
                  <c:v>43621</c:v>
                </c:pt>
                <c:pt idx="221">
                  <c:v>43622</c:v>
                </c:pt>
                <c:pt idx="222">
                  <c:v>43623</c:v>
                </c:pt>
                <c:pt idx="223">
                  <c:v>43626</c:v>
                </c:pt>
                <c:pt idx="224">
                  <c:v>43627</c:v>
                </c:pt>
                <c:pt idx="225">
                  <c:v>43628</c:v>
                </c:pt>
                <c:pt idx="226">
                  <c:v>43629</c:v>
                </c:pt>
                <c:pt idx="227">
                  <c:v>43630</c:v>
                </c:pt>
                <c:pt idx="228">
                  <c:v>43633</c:v>
                </c:pt>
                <c:pt idx="229">
                  <c:v>43634</c:v>
                </c:pt>
                <c:pt idx="230">
                  <c:v>43635</c:v>
                </c:pt>
                <c:pt idx="231">
                  <c:v>43636</c:v>
                </c:pt>
                <c:pt idx="232">
                  <c:v>43637</c:v>
                </c:pt>
                <c:pt idx="233">
                  <c:v>43640</c:v>
                </c:pt>
                <c:pt idx="234">
                  <c:v>43641</c:v>
                </c:pt>
                <c:pt idx="235">
                  <c:v>43642</c:v>
                </c:pt>
                <c:pt idx="236">
                  <c:v>43643</c:v>
                </c:pt>
                <c:pt idx="237">
                  <c:v>43644</c:v>
                </c:pt>
                <c:pt idx="238">
                  <c:v>43647</c:v>
                </c:pt>
                <c:pt idx="239">
                  <c:v>43648</c:v>
                </c:pt>
                <c:pt idx="240">
                  <c:v>43649</c:v>
                </c:pt>
                <c:pt idx="241">
                  <c:v>43650</c:v>
                </c:pt>
                <c:pt idx="242">
                  <c:v>43651</c:v>
                </c:pt>
                <c:pt idx="243">
                  <c:v>43654</c:v>
                </c:pt>
                <c:pt idx="244">
                  <c:v>43655</c:v>
                </c:pt>
                <c:pt idx="245">
                  <c:v>43656</c:v>
                </c:pt>
                <c:pt idx="246">
                  <c:v>43657</c:v>
                </c:pt>
                <c:pt idx="247">
                  <c:v>43658</c:v>
                </c:pt>
                <c:pt idx="248">
                  <c:v>43661</c:v>
                </c:pt>
                <c:pt idx="249">
                  <c:v>43662</c:v>
                </c:pt>
                <c:pt idx="250">
                  <c:v>43663</c:v>
                </c:pt>
                <c:pt idx="251">
                  <c:v>43664</c:v>
                </c:pt>
                <c:pt idx="252">
                  <c:v>43665</c:v>
                </c:pt>
                <c:pt idx="253">
                  <c:v>43668</c:v>
                </c:pt>
                <c:pt idx="254">
                  <c:v>43669</c:v>
                </c:pt>
                <c:pt idx="255">
                  <c:v>43670</c:v>
                </c:pt>
                <c:pt idx="256">
                  <c:v>43671</c:v>
                </c:pt>
                <c:pt idx="257">
                  <c:v>43672</c:v>
                </c:pt>
                <c:pt idx="258">
                  <c:v>43675</c:v>
                </c:pt>
                <c:pt idx="259">
                  <c:v>43676</c:v>
                </c:pt>
                <c:pt idx="260">
                  <c:v>43677</c:v>
                </c:pt>
                <c:pt idx="261">
                  <c:v>43678</c:v>
                </c:pt>
                <c:pt idx="262">
                  <c:v>43679</c:v>
                </c:pt>
                <c:pt idx="263">
                  <c:v>43682</c:v>
                </c:pt>
                <c:pt idx="264">
                  <c:v>43683</c:v>
                </c:pt>
                <c:pt idx="265">
                  <c:v>43684</c:v>
                </c:pt>
                <c:pt idx="266">
                  <c:v>43685</c:v>
                </c:pt>
                <c:pt idx="267">
                  <c:v>43686</c:v>
                </c:pt>
                <c:pt idx="268">
                  <c:v>43689</c:v>
                </c:pt>
                <c:pt idx="269">
                  <c:v>43690</c:v>
                </c:pt>
                <c:pt idx="270">
                  <c:v>43691</c:v>
                </c:pt>
                <c:pt idx="271">
                  <c:v>43692</c:v>
                </c:pt>
                <c:pt idx="272">
                  <c:v>43693</c:v>
                </c:pt>
                <c:pt idx="273">
                  <c:v>43696</c:v>
                </c:pt>
                <c:pt idx="274">
                  <c:v>43697</c:v>
                </c:pt>
                <c:pt idx="275">
                  <c:v>43698</c:v>
                </c:pt>
                <c:pt idx="276">
                  <c:v>43699</c:v>
                </c:pt>
                <c:pt idx="277">
                  <c:v>43700</c:v>
                </c:pt>
                <c:pt idx="278">
                  <c:v>43703</c:v>
                </c:pt>
                <c:pt idx="279">
                  <c:v>43704</c:v>
                </c:pt>
                <c:pt idx="280">
                  <c:v>43705</c:v>
                </c:pt>
                <c:pt idx="281">
                  <c:v>43706</c:v>
                </c:pt>
                <c:pt idx="282">
                  <c:v>43707</c:v>
                </c:pt>
                <c:pt idx="283">
                  <c:v>43710</c:v>
                </c:pt>
                <c:pt idx="284">
                  <c:v>43711</c:v>
                </c:pt>
                <c:pt idx="285">
                  <c:v>43712</c:v>
                </c:pt>
                <c:pt idx="286">
                  <c:v>43713</c:v>
                </c:pt>
                <c:pt idx="287">
                  <c:v>43714</c:v>
                </c:pt>
                <c:pt idx="288">
                  <c:v>43717</c:v>
                </c:pt>
                <c:pt idx="289">
                  <c:v>43718</c:v>
                </c:pt>
                <c:pt idx="290">
                  <c:v>43719</c:v>
                </c:pt>
                <c:pt idx="291">
                  <c:v>43720</c:v>
                </c:pt>
                <c:pt idx="292">
                  <c:v>43721</c:v>
                </c:pt>
                <c:pt idx="293">
                  <c:v>43724</c:v>
                </c:pt>
                <c:pt idx="294">
                  <c:v>43725</c:v>
                </c:pt>
                <c:pt idx="295">
                  <c:v>43726</c:v>
                </c:pt>
                <c:pt idx="296">
                  <c:v>43727</c:v>
                </c:pt>
                <c:pt idx="297">
                  <c:v>43728</c:v>
                </c:pt>
                <c:pt idx="298">
                  <c:v>43731</c:v>
                </c:pt>
                <c:pt idx="299">
                  <c:v>43732</c:v>
                </c:pt>
                <c:pt idx="300">
                  <c:v>43733</c:v>
                </c:pt>
                <c:pt idx="301">
                  <c:v>43734</c:v>
                </c:pt>
                <c:pt idx="302">
                  <c:v>43735</c:v>
                </c:pt>
                <c:pt idx="303">
                  <c:v>43738</c:v>
                </c:pt>
              </c:numCache>
            </c:numRef>
          </c:cat>
          <c:val>
            <c:numRef>
              <c:f>'10 Year Bond Yield'!$B$1979:$B$2282</c:f>
              <c:numCache>
                <c:formatCode>0.00</c:formatCode>
                <c:ptCount val="304"/>
                <c:pt idx="0">
                  <c:v>0.47799999999999998</c:v>
                </c:pt>
                <c:pt idx="1">
                  <c:v>0.46</c:v>
                </c:pt>
                <c:pt idx="2">
                  <c:v>0.40799999999999997</c:v>
                </c:pt>
                <c:pt idx="3">
                  <c:v>0.38900000000000001</c:v>
                </c:pt>
                <c:pt idx="4">
                  <c:v>0.40899999999999997</c:v>
                </c:pt>
                <c:pt idx="5">
                  <c:v>0.39800000000000002</c:v>
                </c:pt>
                <c:pt idx="6">
                  <c:v>0.375</c:v>
                </c:pt>
                <c:pt idx="7">
                  <c:v>0.317</c:v>
                </c:pt>
                <c:pt idx="8">
                  <c:v>0.311</c:v>
                </c:pt>
                <c:pt idx="9">
                  <c:v>0.32700000000000001</c:v>
                </c:pt>
                <c:pt idx="10">
                  <c:v>0.30399999999999999</c:v>
                </c:pt>
                <c:pt idx="11">
                  <c:v>0.32</c:v>
                </c:pt>
                <c:pt idx="12">
                  <c:v>0.30499999999999999</c:v>
                </c:pt>
                <c:pt idx="13">
                  <c:v>0.30199999999999999</c:v>
                </c:pt>
                <c:pt idx="14">
                  <c:v>0.33100000000000002</c:v>
                </c:pt>
                <c:pt idx="15">
                  <c:v>0.34399999999999997</c:v>
                </c:pt>
                <c:pt idx="16">
                  <c:v>0.33900000000000002</c:v>
                </c:pt>
                <c:pt idx="17">
                  <c:v>0.34499999999999997</c:v>
                </c:pt>
                <c:pt idx="18">
                  <c:v>0.376</c:v>
                </c:pt>
                <c:pt idx="19">
                  <c:v>0.38</c:v>
                </c:pt>
                <c:pt idx="20">
                  <c:v>0.40400000000000003</c:v>
                </c:pt>
                <c:pt idx="21">
                  <c:v>0.34599999999999997</c:v>
                </c:pt>
                <c:pt idx="22">
                  <c:v>0.32600000000000001</c:v>
                </c:pt>
                <c:pt idx="23">
                  <c:v>0.33300000000000002</c:v>
                </c:pt>
                <c:pt idx="24">
                  <c:v>0.35699999999999998</c:v>
                </c:pt>
                <c:pt idx="25">
                  <c:v>0.38</c:v>
                </c:pt>
                <c:pt idx="26">
                  <c:v>0.35499999999999998</c:v>
                </c:pt>
                <c:pt idx="27">
                  <c:v>0.38700000000000001</c:v>
                </c:pt>
                <c:pt idx="28">
                  <c:v>0.40100000000000002</c:v>
                </c:pt>
                <c:pt idx="29">
                  <c:v>0.43</c:v>
                </c:pt>
                <c:pt idx="30">
                  <c:v>0.41099999999999998</c:v>
                </c:pt>
                <c:pt idx="31">
                  <c:v>0.42299999999999999</c:v>
                </c:pt>
                <c:pt idx="32">
                  <c:v>0.45</c:v>
                </c:pt>
                <c:pt idx="33">
                  <c:v>0.45800000000000002</c:v>
                </c:pt>
                <c:pt idx="34">
                  <c:v>0.48</c:v>
                </c:pt>
                <c:pt idx="35">
                  <c:v>0.48699999999999999</c:v>
                </c:pt>
                <c:pt idx="36">
                  <c:v>0.47099999999999997</c:v>
                </c:pt>
                <c:pt idx="37">
                  <c:v>0.46200000000000002</c:v>
                </c:pt>
                <c:pt idx="38">
                  <c:v>0.51</c:v>
                </c:pt>
                <c:pt idx="39">
                  <c:v>0.54300000000000004</c:v>
                </c:pt>
                <c:pt idx="40">
                  <c:v>0.52600000000000002</c:v>
                </c:pt>
                <c:pt idx="41">
                  <c:v>0.52900000000000003</c:v>
                </c:pt>
                <c:pt idx="42">
                  <c:v>0.47</c:v>
                </c:pt>
                <c:pt idx="43">
                  <c:v>0.47099999999999997</c:v>
                </c:pt>
                <c:pt idx="44">
                  <c:v>0.42199999999999999</c:v>
                </c:pt>
                <c:pt idx="45">
                  <c:v>0.47499999999999998</c:v>
                </c:pt>
                <c:pt idx="46">
                  <c:v>0.53100000000000003</c:v>
                </c:pt>
                <c:pt idx="47">
                  <c:v>0.57299999999999995</c:v>
                </c:pt>
                <c:pt idx="48">
                  <c:v>0.52900000000000003</c:v>
                </c:pt>
                <c:pt idx="49">
                  <c:v>0.54900000000000004</c:v>
                </c:pt>
                <c:pt idx="50">
                  <c:v>0.55200000000000005</c:v>
                </c:pt>
                <c:pt idx="51">
                  <c:v>0.51800000000000002</c:v>
                </c:pt>
                <c:pt idx="52">
                  <c:v>0.498</c:v>
                </c:pt>
                <c:pt idx="53">
                  <c:v>0.503</c:v>
                </c:pt>
                <c:pt idx="54">
                  <c:v>0.49099999999999999</c:v>
                </c:pt>
                <c:pt idx="55">
                  <c:v>0.46100000000000002</c:v>
                </c:pt>
                <c:pt idx="56">
                  <c:v>0.41599999999999998</c:v>
                </c:pt>
                <c:pt idx="57">
                  <c:v>0.46</c:v>
                </c:pt>
                <c:pt idx="58">
                  <c:v>0.44800000000000001</c:v>
                </c:pt>
                <c:pt idx="59">
                  <c:v>0.40899999999999997</c:v>
                </c:pt>
                <c:pt idx="60">
                  <c:v>0.39600000000000002</c:v>
                </c:pt>
                <c:pt idx="61">
                  <c:v>0.39800000000000002</c:v>
                </c:pt>
                <c:pt idx="62">
                  <c:v>0.35199999999999998</c:v>
                </c:pt>
                <c:pt idx="63">
                  <c:v>0.377</c:v>
                </c:pt>
                <c:pt idx="64">
                  <c:v>0.36899999999999999</c:v>
                </c:pt>
                <c:pt idx="65">
                  <c:v>0.38500000000000001</c:v>
                </c:pt>
                <c:pt idx="66">
                  <c:v>0.39900000000000002</c:v>
                </c:pt>
                <c:pt idx="67">
                  <c:v>0.42799999999999999</c:v>
                </c:pt>
                <c:pt idx="68">
                  <c:v>0.42599999999999999</c:v>
                </c:pt>
                <c:pt idx="69">
                  <c:v>0.434</c:v>
                </c:pt>
                <c:pt idx="70">
                  <c:v>0.44700000000000001</c:v>
                </c:pt>
                <c:pt idx="71">
                  <c:v>0.45700000000000002</c:v>
                </c:pt>
                <c:pt idx="72">
                  <c:v>0.40699999999999997</c:v>
                </c:pt>
                <c:pt idx="73">
                  <c:v>0.39800000000000002</c:v>
                </c:pt>
                <c:pt idx="74">
                  <c:v>0.40899999999999997</c:v>
                </c:pt>
                <c:pt idx="75">
                  <c:v>0.39800000000000002</c:v>
                </c:pt>
                <c:pt idx="76">
                  <c:v>0.36</c:v>
                </c:pt>
                <c:pt idx="77">
                  <c:v>0.36699999999999999</c:v>
                </c:pt>
                <c:pt idx="78">
                  <c:v>0.373</c:v>
                </c:pt>
                <c:pt idx="79">
                  <c:v>0.35</c:v>
                </c:pt>
                <c:pt idx="80">
                  <c:v>0.376</c:v>
                </c:pt>
                <c:pt idx="81">
                  <c:v>0.37</c:v>
                </c:pt>
                <c:pt idx="82">
                  <c:v>0.34</c:v>
                </c:pt>
                <c:pt idx="83">
                  <c:v>0.36099999999999999</c:v>
                </c:pt>
                <c:pt idx="84">
                  <c:v>0.35</c:v>
                </c:pt>
                <c:pt idx="85">
                  <c:v>0.34899999999999998</c:v>
                </c:pt>
                <c:pt idx="86">
                  <c:v>0.32100000000000001</c:v>
                </c:pt>
                <c:pt idx="87">
                  <c:v>0.313</c:v>
                </c:pt>
                <c:pt idx="88">
                  <c:v>0.30599999999999999</c:v>
                </c:pt>
                <c:pt idx="89">
                  <c:v>0.26300000000000001</c:v>
                </c:pt>
                <c:pt idx="90">
                  <c:v>0.27700000000000002</c:v>
                </c:pt>
                <c:pt idx="91">
                  <c:v>0.23599999999999999</c:v>
                </c:pt>
                <c:pt idx="92">
                  <c:v>0.249</c:v>
                </c:pt>
                <c:pt idx="93">
                  <c:v>0.246</c:v>
                </c:pt>
                <c:pt idx="94">
                  <c:v>0.23200000000000001</c:v>
                </c:pt>
                <c:pt idx="95">
                  <c:v>0.27900000000000003</c:v>
                </c:pt>
                <c:pt idx="96">
                  <c:v>0.28499999999999998</c:v>
                </c:pt>
                <c:pt idx="97">
                  <c:v>0.252</c:v>
                </c:pt>
                <c:pt idx="98">
                  <c:v>0.25600000000000001</c:v>
                </c:pt>
                <c:pt idx="99">
                  <c:v>0.24399999999999999</c:v>
                </c:pt>
                <c:pt idx="100">
                  <c:v>0.23899999999999999</c:v>
                </c:pt>
                <c:pt idx="101">
                  <c:v>0.22800000000000001</c:v>
                </c:pt>
                <c:pt idx="102">
                  <c:v>0.25</c:v>
                </c:pt>
                <c:pt idx="103">
                  <c:v>0.25</c:v>
                </c:pt>
                <c:pt idx="104">
                  <c:v>0.25</c:v>
                </c:pt>
                <c:pt idx="105">
                  <c:v>0.25</c:v>
                </c:pt>
                <c:pt idx="106">
                  <c:v>0.23100000000000001</c:v>
                </c:pt>
                <c:pt idx="107">
                  <c:v>0.24199999999999999</c:v>
                </c:pt>
                <c:pt idx="108">
                  <c:v>0.24199999999999999</c:v>
                </c:pt>
                <c:pt idx="109">
                  <c:v>0.24199999999999999</c:v>
                </c:pt>
                <c:pt idx="110">
                  <c:v>0.16500000000000001</c:v>
                </c:pt>
                <c:pt idx="111">
                  <c:v>0.153</c:v>
                </c:pt>
                <c:pt idx="112">
                  <c:v>0.20799999999999999</c:v>
                </c:pt>
                <c:pt idx="113">
                  <c:v>0.221</c:v>
                </c:pt>
                <c:pt idx="114">
                  <c:v>0.22600000000000001</c:v>
                </c:pt>
                <c:pt idx="115">
                  <c:v>0.27900000000000003</c:v>
                </c:pt>
                <c:pt idx="116">
                  <c:v>0.255</c:v>
                </c:pt>
                <c:pt idx="117">
                  <c:v>0.23899999999999999</c:v>
                </c:pt>
                <c:pt idx="118">
                  <c:v>0.23100000000000001</c:v>
                </c:pt>
                <c:pt idx="119">
                  <c:v>0.20599999999999999</c:v>
                </c:pt>
                <c:pt idx="120">
                  <c:v>0.224</c:v>
                </c:pt>
                <c:pt idx="121">
                  <c:v>0.24299999999999999</c:v>
                </c:pt>
                <c:pt idx="122">
                  <c:v>0.26200000000000001</c:v>
                </c:pt>
                <c:pt idx="123">
                  <c:v>0.255</c:v>
                </c:pt>
                <c:pt idx="124">
                  <c:v>0.23599999999999999</c:v>
                </c:pt>
                <c:pt idx="125">
                  <c:v>0.22500000000000001</c:v>
                </c:pt>
                <c:pt idx="126">
                  <c:v>0.18</c:v>
                </c:pt>
                <c:pt idx="127">
                  <c:v>0.193</c:v>
                </c:pt>
                <c:pt idx="128">
                  <c:v>0.20499999999999999</c:v>
                </c:pt>
                <c:pt idx="129">
                  <c:v>0.2</c:v>
                </c:pt>
                <c:pt idx="130">
                  <c:v>0.188</c:v>
                </c:pt>
                <c:pt idx="131">
                  <c:v>0.14899999999999999</c:v>
                </c:pt>
                <c:pt idx="132">
                  <c:v>0.16600000000000001</c:v>
                </c:pt>
                <c:pt idx="133">
                  <c:v>0.17699999999999999</c:v>
                </c:pt>
                <c:pt idx="134">
                  <c:v>0.17</c:v>
                </c:pt>
                <c:pt idx="135">
                  <c:v>0.16200000000000001</c:v>
                </c:pt>
                <c:pt idx="136">
                  <c:v>0.115</c:v>
                </c:pt>
                <c:pt idx="137">
                  <c:v>8.6999999999999994E-2</c:v>
                </c:pt>
                <c:pt idx="138">
                  <c:v>0.12</c:v>
                </c:pt>
                <c:pt idx="139">
                  <c:v>0.13200000000000001</c:v>
                </c:pt>
                <c:pt idx="140">
                  <c:v>0.123</c:v>
                </c:pt>
                <c:pt idx="141">
                  <c:v>0.10299999999999999</c:v>
                </c:pt>
                <c:pt idx="142">
                  <c:v>0.10100000000000001</c:v>
                </c:pt>
                <c:pt idx="143">
                  <c:v>0.11</c:v>
                </c:pt>
                <c:pt idx="144">
                  <c:v>0.105</c:v>
                </c:pt>
                <c:pt idx="145">
                  <c:v>0.1</c:v>
                </c:pt>
                <c:pt idx="146">
                  <c:v>0.127</c:v>
                </c:pt>
                <c:pt idx="147">
                  <c:v>9.6000000000000002E-2</c:v>
                </c:pt>
                <c:pt idx="148">
                  <c:v>0.108</c:v>
                </c:pt>
                <c:pt idx="149">
                  <c:v>0.11799999999999999</c:v>
                </c:pt>
                <c:pt idx="150">
                  <c:v>0.14799999999999999</c:v>
                </c:pt>
                <c:pt idx="151">
                  <c:v>0.183</c:v>
                </c:pt>
                <c:pt idx="152">
                  <c:v>0.183</c:v>
                </c:pt>
                <c:pt idx="153">
                  <c:v>0.158</c:v>
                </c:pt>
                <c:pt idx="154">
                  <c:v>0.16800000000000001</c:v>
                </c:pt>
                <c:pt idx="155">
                  <c:v>0.128</c:v>
                </c:pt>
                <c:pt idx="156">
                  <c:v>6.7000000000000004E-2</c:v>
                </c:pt>
                <c:pt idx="157">
                  <c:v>6.9000000000000006E-2</c:v>
                </c:pt>
                <c:pt idx="158">
                  <c:v>6.9000000000000006E-2</c:v>
                </c:pt>
                <c:pt idx="159">
                  <c:v>5.5E-2</c:v>
                </c:pt>
                <c:pt idx="160">
                  <c:v>6.5000000000000002E-2</c:v>
                </c:pt>
                <c:pt idx="161">
                  <c:v>8.5999999999999993E-2</c:v>
                </c:pt>
                <c:pt idx="162">
                  <c:v>8.4000000000000005E-2</c:v>
                </c:pt>
                <c:pt idx="163">
                  <c:v>8.3000000000000004E-2</c:v>
                </c:pt>
                <c:pt idx="164">
                  <c:v>9.7000000000000003E-2</c:v>
                </c:pt>
                <c:pt idx="165">
                  <c:v>8.4000000000000005E-2</c:v>
                </c:pt>
                <c:pt idx="166">
                  <c:v>4.1000000000000002E-2</c:v>
                </c:pt>
                <c:pt idx="167">
                  <c:v>-1.4999999999999999E-2</c:v>
                </c:pt>
                <c:pt idx="168">
                  <c:v>-2.8000000000000001E-2</c:v>
                </c:pt>
                <c:pt idx="169">
                  <c:v>-1.4999999999999999E-2</c:v>
                </c:pt>
                <c:pt idx="170">
                  <c:v>-8.1000000000000003E-2</c:v>
                </c:pt>
                <c:pt idx="171">
                  <c:v>-6.9000000000000006E-2</c:v>
                </c:pt>
                <c:pt idx="172">
                  <c:v>-7.0000000000000007E-2</c:v>
                </c:pt>
                <c:pt idx="173">
                  <c:v>-2.5999999999999999E-2</c:v>
                </c:pt>
                <c:pt idx="174">
                  <c:v>-4.9000000000000002E-2</c:v>
                </c:pt>
                <c:pt idx="175">
                  <c:v>8.0000000000000002E-3</c:v>
                </c:pt>
                <c:pt idx="176">
                  <c:v>-6.0000000000000001E-3</c:v>
                </c:pt>
                <c:pt idx="177">
                  <c:v>7.0000000000000001E-3</c:v>
                </c:pt>
                <c:pt idx="178">
                  <c:v>7.0000000000000001E-3</c:v>
                </c:pt>
                <c:pt idx="179">
                  <c:v>-0.01</c:v>
                </c:pt>
                <c:pt idx="180">
                  <c:v>-2.5999999999999999E-2</c:v>
                </c:pt>
                <c:pt idx="181">
                  <c:v>-8.9999999999999993E-3</c:v>
                </c:pt>
                <c:pt idx="182">
                  <c:v>5.5E-2</c:v>
                </c:pt>
                <c:pt idx="183">
                  <c:v>5.6000000000000001E-2</c:v>
                </c:pt>
                <c:pt idx="184">
                  <c:v>6.6000000000000003E-2</c:v>
                </c:pt>
                <c:pt idx="185">
                  <c:v>0.08</c:v>
                </c:pt>
                <c:pt idx="186">
                  <c:v>2.5000000000000001E-2</c:v>
                </c:pt>
                <c:pt idx="187">
                  <c:v>2.5000000000000001E-2</c:v>
                </c:pt>
                <c:pt idx="188">
                  <c:v>2.5000000000000001E-2</c:v>
                </c:pt>
                <c:pt idx="189">
                  <c:v>4.1000000000000002E-2</c:v>
                </c:pt>
                <c:pt idx="190">
                  <c:v>-1.2E-2</c:v>
                </c:pt>
                <c:pt idx="191">
                  <c:v>-8.9999999999999993E-3</c:v>
                </c:pt>
                <c:pt idx="192">
                  <c:v>-2.1999999999999999E-2</c:v>
                </c:pt>
                <c:pt idx="193">
                  <c:v>3.0000000000000001E-3</c:v>
                </c:pt>
                <c:pt idx="194">
                  <c:v>1.2999999999999999E-2</c:v>
                </c:pt>
                <c:pt idx="195">
                  <c:v>1.2999999999999999E-2</c:v>
                </c:pt>
                <c:pt idx="196">
                  <c:v>0.03</c:v>
                </c:pt>
                <c:pt idx="197">
                  <c:v>2.5000000000000001E-2</c:v>
                </c:pt>
                <c:pt idx="198">
                  <c:v>6.0000000000000001E-3</c:v>
                </c:pt>
                <c:pt idx="199">
                  <c:v>-3.7999999999999999E-2</c:v>
                </c:pt>
                <c:pt idx="200">
                  <c:v>-4.3999999999999997E-2</c:v>
                </c:pt>
                <c:pt idx="201">
                  <c:v>-4.7E-2</c:v>
                </c:pt>
                <c:pt idx="202">
                  <c:v>-4.4999999999999998E-2</c:v>
                </c:pt>
                <c:pt idx="203">
                  <c:v>-7.0000000000000007E-2</c:v>
                </c:pt>
                <c:pt idx="204">
                  <c:v>-7.0000000000000007E-2</c:v>
                </c:pt>
                <c:pt idx="205">
                  <c:v>-9.8000000000000004E-2</c:v>
                </c:pt>
                <c:pt idx="206">
                  <c:v>-9.5000000000000001E-2</c:v>
                </c:pt>
                <c:pt idx="207">
                  <c:v>-0.104</c:v>
                </c:pt>
                <c:pt idx="208">
                  <c:v>-8.6999999999999994E-2</c:v>
                </c:pt>
                <c:pt idx="209">
                  <c:v>-6.3E-2</c:v>
                </c:pt>
                <c:pt idx="210">
                  <c:v>-8.5999999999999993E-2</c:v>
                </c:pt>
                <c:pt idx="211">
                  <c:v>-0.12</c:v>
                </c:pt>
                <c:pt idx="212">
                  <c:v>-0.11700000000000001</c:v>
                </c:pt>
                <c:pt idx="213">
                  <c:v>-0.14399999999999999</c:v>
                </c:pt>
                <c:pt idx="214">
                  <c:v>-0.161</c:v>
                </c:pt>
                <c:pt idx="215">
                  <c:v>-0.17899999999999999</c:v>
                </c:pt>
                <c:pt idx="216">
                  <c:v>-0.17499999999999999</c:v>
                </c:pt>
                <c:pt idx="217">
                  <c:v>-0.20200000000000001</c:v>
                </c:pt>
                <c:pt idx="218">
                  <c:v>-0.20100000000000001</c:v>
                </c:pt>
                <c:pt idx="219">
                  <c:v>-0.20599999999999999</c:v>
                </c:pt>
                <c:pt idx="220">
                  <c:v>-0.22600000000000001</c:v>
                </c:pt>
                <c:pt idx="221">
                  <c:v>-0.23899999999999999</c:v>
                </c:pt>
                <c:pt idx="222">
                  <c:v>-0.25700000000000001</c:v>
                </c:pt>
                <c:pt idx="223">
                  <c:v>-0.219</c:v>
                </c:pt>
                <c:pt idx="224">
                  <c:v>-0.23200000000000001</c:v>
                </c:pt>
                <c:pt idx="225">
                  <c:v>-0.23599999999999999</c:v>
                </c:pt>
                <c:pt idx="226">
                  <c:v>-0.24099999999999999</c:v>
                </c:pt>
                <c:pt idx="227">
                  <c:v>-0.255</c:v>
                </c:pt>
                <c:pt idx="228">
                  <c:v>-0.24399999999999999</c:v>
                </c:pt>
                <c:pt idx="229">
                  <c:v>-0.32</c:v>
                </c:pt>
                <c:pt idx="230">
                  <c:v>-0.28799999999999998</c:v>
                </c:pt>
                <c:pt idx="231">
                  <c:v>-0.318</c:v>
                </c:pt>
                <c:pt idx="232">
                  <c:v>-0.28499999999999998</c:v>
                </c:pt>
                <c:pt idx="233">
                  <c:v>-0.307</c:v>
                </c:pt>
                <c:pt idx="234">
                  <c:v>-0.33100000000000002</c:v>
                </c:pt>
                <c:pt idx="235">
                  <c:v>-0.30299999999999999</c:v>
                </c:pt>
                <c:pt idx="236">
                  <c:v>-0.32</c:v>
                </c:pt>
                <c:pt idx="237">
                  <c:v>-0.32700000000000001</c:v>
                </c:pt>
                <c:pt idx="238">
                  <c:v>-0.35699999999999998</c:v>
                </c:pt>
                <c:pt idx="239">
                  <c:v>-0.36699999999999999</c:v>
                </c:pt>
                <c:pt idx="240">
                  <c:v>-0.38500000000000001</c:v>
                </c:pt>
                <c:pt idx="241">
                  <c:v>-0.39900000000000002</c:v>
                </c:pt>
                <c:pt idx="242">
                  <c:v>-0.36299999999999999</c:v>
                </c:pt>
                <c:pt idx="243">
                  <c:v>-0.36599999999999999</c:v>
                </c:pt>
                <c:pt idx="244">
                  <c:v>-0.35399999999999998</c:v>
                </c:pt>
                <c:pt idx="245">
                  <c:v>-0.307</c:v>
                </c:pt>
                <c:pt idx="246">
                  <c:v>-0.22500000000000001</c:v>
                </c:pt>
                <c:pt idx="247">
                  <c:v>-0.21</c:v>
                </c:pt>
                <c:pt idx="248">
                  <c:v>-0.251</c:v>
                </c:pt>
                <c:pt idx="249">
                  <c:v>-0.24399999999999999</c:v>
                </c:pt>
                <c:pt idx="250">
                  <c:v>-0.28999999999999998</c:v>
                </c:pt>
                <c:pt idx="251">
                  <c:v>-0.31</c:v>
                </c:pt>
                <c:pt idx="252">
                  <c:v>-0.32400000000000001</c:v>
                </c:pt>
                <c:pt idx="253">
                  <c:v>-0.34599999999999997</c:v>
                </c:pt>
                <c:pt idx="254">
                  <c:v>-0.35499999999999998</c:v>
                </c:pt>
                <c:pt idx="255">
                  <c:v>-0.378</c:v>
                </c:pt>
                <c:pt idx="256">
                  <c:v>-0.36299999999999999</c:v>
                </c:pt>
                <c:pt idx="257">
                  <c:v>-0.376</c:v>
                </c:pt>
                <c:pt idx="258">
                  <c:v>-0.39100000000000001</c:v>
                </c:pt>
                <c:pt idx="259">
                  <c:v>-0.39900000000000002</c:v>
                </c:pt>
                <c:pt idx="260">
                  <c:v>-0.44</c:v>
                </c:pt>
                <c:pt idx="261">
                  <c:v>-0.45</c:v>
                </c:pt>
                <c:pt idx="262" formatCode="General">
                  <c:v>-0.495</c:v>
                </c:pt>
                <c:pt idx="263" formatCode="General">
                  <c:v>-0.51600000000000001</c:v>
                </c:pt>
                <c:pt idx="264" formatCode="General">
                  <c:v>-0.53600000000000003</c:v>
                </c:pt>
                <c:pt idx="265" formatCode="General">
                  <c:v>-0.58099999999999996</c:v>
                </c:pt>
                <c:pt idx="266" formatCode="General">
                  <c:v>-0.56000000000000005</c:v>
                </c:pt>
                <c:pt idx="267" formatCode="General">
                  <c:v>-0.57599999999999996</c:v>
                </c:pt>
                <c:pt idx="268" formatCode="General">
                  <c:v>-0.59199999999999997</c:v>
                </c:pt>
                <c:pt idx="269" formatCode="General">
                  <c:v>-0.60899999999999999</c:v>
                </c:pt>
                <c:pt idx="270" formatCode="General">
                  <c:v>-0.65</c:v>
                </c:pt>
                <c:pt idx="271" formatCode="General">
                  <c:v>-0.71299999999999997</c:v>
                </c:pt>
                <c:pt idx="272" formatCode="General">
                  <c:v>-0.68500000000000005</c:v>
                </c:pt>
                <c:pt idx="273" formatCode="General">
                  <c:v>-0.64800000000000002</c:v>
                </c:pt>
                <c:pt idx="274" formatCode="General">
                  <c:v>-0.69</c:v>
                </c:pt>
                <c:pt idx="275" formatCode="General">
                  <c:v>-0.67</c:v>
                </c:pt>
                <c:pt idx="276" formatCode="General">
                  <c:v>-0.64400000000000002</c:v>
                </c:pt>
                <c:pt idx="277" formatCode="General">
                  <c:v>-0.67500000000000004</c:v>
                </c:pt>
                <c:pt idx="278" formatCode="General">
                  <c:v>-0.66600000000000004</c:v>
                </c:pt>
                <c:pt idx="279" formatCode="General">
                  <c:v>-0.69299999999999995</c:v>
                </c:pt>
                <c:pt idx="280" formatCode="General">
                  <c:v>-0.71399999999999997</c:v>
                </c:pt>
                <c:pt idx="281" formatCode="General">
                  <c:v>-0.69199999999999995</c:v>
                </c:pt>
                <c:pt idx="282" formatCode="General">
                  <c:v>-0.7</c:v>
                </c:pt>
                <c:pt idx="283" formatCode="General">
                  <c:v>-0.70199999999999996</c:v>
                </c:pt>
                <c:pt idx="284" formatCode="General">
                  <c:v>-0.70599999999999996</c:v>
                </c:pt>
                <c:pt idx="285" formatCode="General">
                  <c:v>-0.67400000000000004</c:v>
                </c:pt>
                <c:pt idx="286" formatCode="General">
                  <c:v>-0.59399999999999997</c:v>
                </c:pt>
                <c:pt idx="287" formatCode="General">
                  <c:v>-0.63800000000000001</c:v>
                </c:pt>
                <c:pt idx="288" formatCode="General">
                  <c:v>-0.58499999999999996</c:v>
                </c:pt>
                <c:pt idx="289" formatCode="General">
                  <c:v>-0.54700000000000004</c:v>
                </c:pt>
                <c:pt idx="290" formatCode="General">
                  <c:v>-0.56399999999999995</c:v>
                </c:pt>
                <c:pt idx="291" formatCode="General">
                  <c:v>-0.51600000000000001</c:v>
                </c:pt>
                <c:pt idx="292" formatCode="General">
                  <c:v>-0.44900000000000001</c:v>
                </c:pt>
                <c:pt idx="293" formatCode="General">
                  <c:v>-0.48</c:v>
                </c:pt>
                <c:pt idx="294" formatCode="General">
                  <c:v>-0.47399999999999998</c:v>
                </c:pt>
                <c:pt idx="295" formatCode="General">
                  <c:v>-0.51</c:v>
                </c:pt>
                <c:pt idx="296" formatCode="General">
                  <c:v>-0.50700000000000001</c:v>
                </c:pt>
                <c:pt idx="297" formatCode="General">
                  <c:v>-0.52100000000000002</c:v>
                </c:pt>
                <c:pt idx="298" formatCode="General">
                  <c:v>-0.58099999999999996</c:v>
                </c:pt>
                <c:pt idx="299" formatCode="General">
                  <c:v>-0.6</c:v>
                </c:pt>
                <c:pt idx="300" formatCode="General">
                  <c:v>-0.57499999999999996</c:v>
                </c:pt>
                <c:pt idx="301" formatCode="General">
                  <c:v>-0.58199999999999996</c:v>
                </c:pt>
                <c:pt idx="302" formatCode="General">
                  <c:v>-0.57299999999999995</c:v>
                </c:pt>
                <c:pt idx="303" formatCode="General">
                  <c:v>-0.57099999999999995</c:v>
                </c:pt>
              </c:numCache>
            </c:numRef>
          </c:val>
          <c:smooth val="0"/>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Yield'!$A$1979:$A$2282</c:f>
              <c:numCache>
                <c:formatCode>[$-409]mmm\-yy;@</c:formatCode>
                <c:ptCount val="304"/>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pt idx="66">
                  <c:v>43405</c:v>
                </c:pt>
                <c:pt idx="67">
                  <c:v>43406</c:v>
                </c:pt>
                <c:pt idx="68">
                  <c:v>43409</c:v>
                </c:pt>
                <c:pt idx="69">
                  <c:v>43410</c:v>
                </c:pt>
                <c:pt idx="70">
                  <c:v>43411</c:v>
                </c:pt>
                <c:pt idx="71">
                  <c:v>43412</c:v>
                </c:pt>
                <c:pt idx="72">
                  <c:v>43413</c:v>
                </c:pt>
                <c:pt idx="73">
                  <c:v>43416</c:v>
                </c:pt>
                <c:pt idx="74">
                  <c:v>43417</c:v>
                </c:pt>
                <c:pt idx="75">
                  <c:v>43418</c:v>
                </c:pt>
                <c:pt idx="76">
                  <c:v>43419</c:v>
                </c:pt>
                <c:pt idx="77">
                  <c:v>43420</c:v>
                </c:pt>
                <c:pt idx="78">
                  <c:v>43423</c:v>
                </c:pt>
                <c:pt idx="79">
                  <c:v>43424</c:v>
                </c:pt>
                <c:pt idx="80">
                  <c:v>43425</c:v>
                </c:pt>
                <c:pt idx="81">
                  <c:v>43426</c:v>
                </c:pt>
                <c:pt idx="82">
                  <c:v>43427</c:v>
                </c:pt>
                <c:pt idx="83">
                  <c:v>43430</c:v>
                </c:pt>
                <c:pt idx="84">
                  <c:v>43431</c:v>
                </c:pt>
                <c:pt idx="85">
                  <c:v>43432</c:v>
                </c:pt>
                <c:pt idx="86">
                  <c:v>43433</c:v>
                </c:pt>
                <c:pt idx="87">
                  <c:v>43434</c:v>
                </c:pt>
                <c:pt idx="88">
                  <c:v>43437</c:v>
                </c:pt>
                <c:pt idx="89">
                  <c:v>43438</c:v>
                </c:pt>
                <c:pt idx="90">
                  <c:v>43439</c:v>
                </c:pt>
                <c:pt idx="91">
                  <c:v>43440</c:v>
                </c:pt>
                <c:pt idx="92">
                  <c:v>43441</c:v>
                </c:pt>
                <c:pt idx="93">
                  <c:v>43444</c:v>
                </c:pt>
                <c:pt idx="94">
                  <c:v>43445</c:v>
                </c:pt>
                <c:pt idx="95">
                  <c:v>43446</c:v>
                </c:pt>
                <c:pt idx="96">
                  <c:v>43447</c:v>
                </c:pt>
                <c:pt idx="97">
                  <c:v>43448</c:v>
                </c:pt>
                <c:pt idx="98">
                  <c:v>43451</c:v>
                </c:pt>
                <c:pt idx="99">
                  <c:v>43452</c:v>
                </c:pt>
                <c:pt idx="100">
                  <c:v>43453</c:v>
                </c:pt>
                <c:pt idx="101">
                  <c:v>43454</c:v>
                </c:pt>
                <c:pt idx="102">
                  <c:v>43455</c:v>
                </c:pt>
                <c:pt idx="103">
                  <c:v>43458</c:v>
                </c:pt>
                <c:pt idx="104">
                  <c:v>43459</c:v>
                </c:pt>
                <c:pt idx="105">
                  <c:v>43460</c:v>
                </c:pt>
                <c:pt idx="106">
                  <c:v>43461</c:v>
                </c:pt>
                <c:pt idx="107">
                  <c:v>43462</c:v>
                </c:pt>
                <c:pt idx="108">
                  <c:v>43465</c:v>
                </c:pt>
                <c:pt idx="109">
                  <c:v>43466</c:v>
                </c:pt>
                <c:pt idx="110">
                  <c:v>43467</c:v>
                </c:pt>
                <c:pt idx="111">
                  <c:v>43468</c:v>
                </c:pt>
                <c:pt idx="112">
                  <c:v>43469</c:v>
                </c:pt>
                <c:pt idx="113">
                  <c:v>43472</c:v>
                </c:pt>
                <c:pt idx="114">
                  <c:v>43473</c:v>
                </c:pt>
                <c:pt idx="115">
                  <c:v>43474</c:v>
                </c:pt>
                <c:pt idx="116">
                  <c:v>43475</c:v>
                </c:pt>
                <c:pt idx="117">
                  <c:v>43476</c:v>
                </c:pt>
                <c:pt idx="118">
                  <c:v>43479</c:v>
                </c:pt>
                <c:pt idx="119">
                  <c:v>43480</c:v>
                </c:pt>
                <c:pt idx="120">
                  <c:v>43481</c:v>
                </c:pt>
                <c:pt idx="121">
                  <c:v>43482</c:v>
                </c:pt>
                <c:pt idx="122">
                  <c:v>43483</c:v>
                </c:pt>
                <c:pt idx="123">
                  <c:v>43486</c:v>
                </c:pt>
                <c:pt idx="124">
                  <c:v>43487</c:v>
                </c:pt>
                <c:pt idx="125">
                  <c:v>43488</c:v>
                </c:pt>
                <c:pt idx="126">
                  <c:v>43489</c:v>
                </c:pt>
                <c:pt idx="127">
                  <c:v>43490</c:v>
                </c:pt>
                <c:pt idx="128">
                  <c:v>43493</c:v>
                </c:pt>
                <c:pt idx="129">
                  <c:v>43494</c:v>
                </c:pt>
                <c:pt idx="130">
                  <c:v>43495</c:v>
                </c:pt>
                <c:pt idx="131">
                  <c:v>43496</c:v>
                </c:pt>
                <c:pt idx="132">
                  <c:v>43497</c:v>
                </c:pt>
                <c:pt idx="133">
                  <c:v>43500</c:v>
                </c:pt>
                <c:pt idx="134">
                  <c:v>43501</c:v>
                </c:pt>
                <c:pt idx="135">
                  <c:v>43502</c:v>
                </c:pt>
                <c:pt idx="136">
                  <c:v>43503</c:v>
                </c:pt>
                <c:pt idx="137">
                  <c:v>43504</c:v>
                </c:pt>
                <c:pt idx="138">
                  <c:v>43507</c:v>
                </c:pt>
                <c:pt idx="139">
                  <c:v>43508</c:v>
                </c:pt>
                <c:pt idx="140">
                  <c:v>43509</c:v>
                </c:pt>
                <c:pt idx="141">
                  <c:v>43510</c:v>
                </c:pt>
                <c:pt idx="142">
                  <c:v>43511</c:v>
                </c:pt>
                <c:pt idx="143">
                  <c:v>43514</c:v>
                </c:pt>
                <c:pt idx="144">
                  <c:v>43515</c:v>
                </c:pt>
                <c:pt idx="145">
                  <c:v>43516</c:v>
                </c:pt>
                <c:pt idx="146">
                  <c:v>43517</c:v>
                </c:pt>
                <c:pt idx="147">
                  <c:v>43518</c:v>
                </c:pt>
                <c:pt idx="148">
                  <c:v>43521</c:v>
                </c:pt>
                <c:pt idx="149">
                  <c:v>43522</c:v>
                </c:pt>
                <c:pt idx="150">
                  <c:v>43523</c:v>
                </c:pt>
                <c:pt idx="151">
                  <c:v>43524</c:v>
                </c:pt>
                <c:pt idx="152">
                  <c:v>43525</c:v>
                </c:pt>
                <c:pt idx="153">
                  <c:v>43528</c:v>
                </c:pt>
                <c:pt idx="154">
                  <c:v>43529</c:v>
                </c:pt>
                <c:pt idx="155">
                  <c:v>43530</c:v>
                </c:pt>
                <c:pt idx="156">
                  <c:v>43531</c:v>
                </c:pt>
                <c:pt idx="157">
                  <c:v>43532</c:v>
                </c:pt>
                <c:pt idx="158">
                  <c:v>43535</c:v>
                </c:pt>
                <c:pt idx="159">
                  <c:v>43536</c:v>
                </c:pt>
                <c:pt idx="160">
                  <c:v>43537</c:v>
                </c:pt>
                <c:pt idx="161">
                  <c:v>43538</c:v>
                </c:pt>
                <c:pt idx="162">
                  <c:v>43539</c:v>
                </c:pt>
                <c:pt idx="163">
                  <c:v>43542</c:v>
                </c:pt>
                <c:pt idx="164">
                  <c:v>43543</c:v>
                </c:pt>
                <c:pt idx="165">
                  <c:v>43544</c:v>
                </c:pt>
                <c:pt idx="166">
                  <c:v>43545</c:v>
                </c:pt>
                <c:pt idx="167">
                  <c:v>43546</c:v>
                </c:pt>
                <c:pt idx="168">
                  <c:v>43549</c:v>
                </c:pt>
                <c:pt idx="169">
                  <c:v>43550</c:v>
                </c:pt>
                <c:pt idx="170">
                  <c:v>43551</c:v>
                </c:pt>
                <c:pt idx="171">
                  <c:v>43552</c:v>
                </c:pt>
                <c:pt idx="172">
                  <c:v>43553</c:v>
                </c:pt>
                <c:pt idx="173">
                  <c:v>43556</c:v>
                </c:pt>
                <c:pt idx="174">
                  <c:v>43557</c:v>
                </c:pt>
                <c:pt idx="175">
                  <c:v>43558</c:v>
                </c:pt>
                <c:pt idx="176">
                  <c:v>43559</c:v>
                </c:pt>
                <c:pt idx="177">
                  <c:v>43560</c:v>
                </c:pt>
                <c:pt idx="178">
                  <c:v>43563</c:v>
                </c:pt>
                <c:pt idx="179">
                  <c:v>43564</c:v>
                </c:pt>
                <c:pt idx="180">
                  <c:v>43565</c:v>
                </c:pt>
                <c:pt idx="181">
                  <c:v>43566</c:v>
                </c:pt>
                <c:pt idx="182">
                  <c:v>43567</c:v>
                </c:pt>
                <c:pt idx="183">
                  <c:v>43570</c:v>
                </c:pt>
                <c:pt idx="184">
                  <c:v>43571</c:v>
                </c:pt>
                <c:pt idx="185">
                  <c:v>43572</c:v>
                </c:pt>
                <c:pt idx="186">
                  <c:v>43573</c:v>
                </c:pt>
                <c:pt idx="187">
                  <c:v>43574</c:v>
                </c:pt>
                <c:pt idx="188">
                  <c:v>43577</c:v>
                </c:pt>
                <c:pt idx="189">
                  <c:v>43578</c:v>
                </c:pt>
                <c:pt idx="190">
                  <c:v>43579</c:v>
                </c:pt>
                <c:pt idx="191">
                  <c:v>43580</c:v>
                </c:pt>
                <c:pt idx="192">
                  <c:v>43581</c:v>
                </c:pt>
                <c:pt idx="193">
                  <c:v>43584</c:v>
                </c:pt>
                <c:pt idx="194">
                  <c:v>43585</c:v>
                </c:pt>
                <c:pt idx="195">
                  <c:v>43586</c:v>
                </c:pt>
                <c:pt idx="196">
                  <c:v>43587</c:v>
                </c:pt>
                <c:pt idx="197">
                  <c:v>43588</c:v>
                </c:pt>
                <c:pt idx="198">
                  <c:v>43591</c:v>
                </c:pt>
                <c:pt idx="199">
                  <c:v>43592</c:v>
                </c:pt>
                <c:pt idx="200">
                  <c:v>43593</c:v>
                </c:pt>
                <c:pt idx="201">
                  <c:v>43594</c:v>
                </c:pt>
                <c:pt idx="202">
                  <c:v>43595</c:v>
                </c:pt>
                <c:pt idx="203">
                  <c:v>43598</c:v>
                </c:pt>
                <c:pt idx="204">
                  <c:v>43599</c:v>
                </c:pt>
                <c:pt idx="205">
                  <c:v>43600</c:v>
                </c:pt>
                <c:pt idx="206">
                  <c:v>43601</c:v>
                </c:pt>
                <c:pt idx="207">
                  <c:v>43602</c:v>
                </c:pt>
                <c:pt idx="208">
                  <c:v>43605</c:v>
                </c:pt>
                <c:pt idx="209">
                  <c:v>43606</c:v>
                </c:pt>
                <c:pt idx="210">
                  <c:v>43607</c:v>
                </c:pt>
                <c:pt idx="211">
                  <c:v>43608</c:v>
                </c:pt>
                <c:pt idx="212">
                  <c:v>43609</c:v>
                </c:pt>
                <c:pt idx="213">
                  <c:v>43612</c:v>
                </c:pt>
                <c:pt idx="214">
                  <c:v>43613</c:v>
                </c:pt>
                <c:pt idx="215">
                  <c:v>43614</c:v>
                </c:pt>
                <c:pt idx="216">
                  <c:v>43615</c:v>
                </c:pt>
                <c:pt idx="217">
                  <c:v>43616</c:v>
                </c:pt>
                <c:pt idx="218">
                  <c:v>43619</c:v>
                </c:pt>
                <c:pt idx="219">
                  <c:v>43620</c:v>
                </c:pt>
                <c:pt idx="220">
                  <c:v>43621</c:v>
                </c:pt>
                <c:pt idx="221">
                  <c:v>43622</c:v>
                </c:pt>
                <c:pt idx="222">
                  <c:v>43623</c:v>
                </c:pt>
                <c:pt idx="223">
                  <c:v>43626</c:v>
                </c:pt>
                <c:pt idx="224">
                  <c:v>43627</c:v>
                </c:pt>
                <c:pt idx="225">
                  <c:v>43628</c:v>
                </c:pt>
                <c:pt idx="226">
                  <c:v>43629</c:v>
                </c:pt>
                <c:pt idx="227">
                  <c:v>43630</c:v>
                </c:pt>
                <c:pt idx="228">
                  <c:v>43633</c:v>
                </c:pt>
                <c:pt idx="229">
                  <c:v>43634</c:v>
                </c:pt>
                <c:pt idx="230">
                  <c:v>43635</c:v>
                </c:pt>
                <c:pt idx="231">
                  <c:v>43636</c:v>
                </c:pt>
                <c:pt idx="232">
                  <c:v>43637</c:v>
                </c:pt>
                <c:pt idx="233">
                  <c:v>43640</c:v>
                </c:pt>
                <c:pt idx="234">
                  <c:v>43641</c:v>
                </c:pt>
                <c:pt idx="235">
                  <c:v>43642</c:v>
                </c:pt>
                <c:pt idx="236">
                  <c:v>43643</c:v>
                </c:pt>
                <c:pt idx="237">
                  <c:v>43644</c:v>
                </c:pt>
                <c:pt idx="238">
                  <c:v>43647</c:v>
                </c:pt>
                <c:pt idx="239">
                  <c:v>43648</c:v>
                </c:pt>
                <c:pt idx="240">
                  <c:v>43649</c:v>
                </c:pt>
                <c:pt idx="241">
                  <c:v>43650</c:v>
                </c:pt>
                <c:pt idx="242">
                  <c:v>43651</c:v>
                </c:pt>
                <c:pt idx="243">
                  <c:v>43654</c:v>
                </c:pt>
                <c:pt idx="244">
                  <c:v>43655</c:v>
                </c:pt>
                <c:pt idx="245">
                  <c:v>43656</c:v>
                </c:pt>
                <c:pt idx="246">
                  <c:v>43657</c:v>
                </c:pt>
                <c:pt idx="247">
                  <c:v>43658</c:v>
                </c:pt>
                <c:pt idx="248">
                  <c:v>43661</c:v>
                </c:pt>
                <c:pt idx="249">
                  <c:v>43662</c:v>
                </c:pt>
                <c:pt idx="250">
                  <c:v>43663</c:v>
                </c:pt>
                <c:pt idx="251">
                  <c:v>43664</c:v>
                </c:pt>
                <c:pt idx="252">
                  <c:v>43665</c:v>
                </c:pt>
                <c:pt idx="253">
                  <c:v>43668</c:v>
                </c:pt>
                <c:pt idx="254">
                  <c:v>43669</c:v>
                </c:pt>
                <c:pt idx="255">
                  <c:v>43670</c:v>
                </c:pt>
                <c:pt idx="256">
                  <c:v>43671</c:v>
                </c:pt>
                <c:pt idx="257">
                  <c:v>43672</c:v>
                </c:pt>
                <c:pt idx="258">
                  <c:v>43675</c:v>
                </c:pt>
                <c:pt idx="259">
                  <c:v>43676</c:v>
                </c:pt>
                <c:pt idx="260">
                  <c:v>43677</c:v>
                </c:pt>
                <c:pt idx="261">
                  <c:v>43678</c:v>
                </c:pt>
                <c:pt idx="262">
                  <c:v>43679</c:v>
                </c:pt>
                <c:pt idx="263">
                  <c:v>43682</c:v>
                </c:pt>
                <c:pt idx="264">
                  <c:v>43683</c:v>
                </c:pt>
                <c:pt idx="265">
                  <c:v>43684</c:v>
                </c:pt>
                <c:pt idx="266">
                  <c:v>43685</c:v>
                </c:pt>
                <c:pt idx="267">
                  <c:v>43686</c:v>
                </c:pt>
                <c:pt idx="268">
                  <c:v>43689</c:v>
                </c:pt>
                <c:pt idx="269">
                  <c:v>43690</c:v>
                </c:pt>
                <c:pt idx="270">
                  <c:v>43691</c:v>
                </c:pt>
                <c:pt idx="271">
                  <c:v>43692</c:v>
                </c:pt>
                <c:pt idx="272">
                  <c:v>43693</c:v>
                </c:pt>
                <c:pt idx="273">
                  <c:v>43696</c:v>
                </c:pt>
                <c:pt idx="274">
                  <c:v>43697</c:v>
                </c:pt>
                <c:pt idx="275">
                  <c:v>43698</c:v>
                </c:pt>
                <c:pt idx="276">
                  <c:v>43699</c:v>
                </c:pt>
                <c:pt idx="277">
                  <c:v>43700</c:v>
                </c:pt>
                <c:pt idx="278">
                  <c:v>43703</c:v>
                </c:pt>
                <c:pt idx="279">
                  <c:v>43704</c:v>
                </c:pt>
                <c:pt idx="280">
                  <c:v>43705</c:v>
                </c:pt>
                <c:pt idx="281">
                  <c:v>43706</c:v>
                </c:pt>
                <c:pt idx="282">
                  <c:v>43707</c:v>
                </c:pt>
                <c:pt idx="283">
                  <c:v>43710</c:v>
                </c:pt>
                <c:pt idx="284">
                  <c:v>43711</c:v>
                </c:pt>
                <c:pt idx="285">
                  <c:v>43712</c:v>
                </c:pt>
                <c:pt idx="286">
                  <c:v>43713</c:v>
                </c:pt>
                <c:pt idx="287">
                  <c:v>43714</c:v>
                </c:pt>
                <c:pt idx="288">
                  <c:v>43717</c:v>
                </c:pt>
                <c:pt idx="289">
                  <c:v>43718</c:v>
                </c:pt>
                <c:pt idx="290">
                  <c:v>43719</c:v>
                </c:pt>
                <c:pt idx="291">
                  <c:v>43720</c:v>
                </c:pt>
                <c:pt idx="292">
                  <c:v>43721</c:v>
                </c:pt>
                <c:pt idx="293">
                  <c:v>43724</c:v>
                </c:pt>
                <c:pt idx="294">
                  <c:v>43725</c:v>
                </c:pt>
                <c:pt idx="295">
                  <c:v>43726</c:v>
                </c:pt>
                <c:pt idx="296">
                  <c:v>43727</c:v>
                </c:pt>
                <c:pt idx="297">
                  <c:v>43728</c:v>
                </c:pt>
                <c:pt idx="298">
                  <c:v>43731</c:v>
                </c:pt>
                <c:pt idx="299">
                  <c:v>43732</c:v>
                </c:pt>
                <c:pt idx="300">
                  <c:v>43733</c:v>
                </c:pt>
                <c:pt idx="301">
                  <c:v>43734</c:v>
                </c:pt>
                <c:pt idx="302">
                  <c:v>43735</c:v>
                </c:pt>
                <c:pt idx="303">
                  <c:v>43738</c:v>
                </c:pt>
              </c:numCache>
            </c:numRef>
          </c:cat>
          <c:val>
            <c:numRef>
              <c:f>'10 Year Bond Yield'!$C$1979:$C$2282</c:f>
              <c:numCache>
                <c:formatCode>0.00</c:formatCode>
                <c:ptCount val="304"/>
                <c:pt idx="0">
                  <c:v>1.454</c:v>
                </c:pt>
                <c:pt idx="1">
                  <c:v>1.4570000000000001</c:v>
                </c:pt>
                <c:pt idx="2">
                  <c:v>1.4219999999999999</c:v>
                </c:pt>
                <c:pt idx="3">
                  <c:v>1.3979999999999999</c:v>
                </c:pt>
                <c:pt idx="4">
                  <c:v>1.395</c:v>
                </c:pt>
                <c:pt idx="5">
                  <c:v>1.407</c:v>
                </c:pt>
                <c:pt idx="6">
                  <c:v>1.3939999999999999</c:v>
                </c:pt>
                <c:pt idx="7">
                  <c:v>1.407</c:v>
                </c:pt>
                <c:pt idx="8">
                  <c:v>1.454</c:v>
                </c:pt>
                <c:pt idx="9">
                  <c:v>1.4139999999999999</c:v>
                </c:pt>
                <c:pt idx="10">
                  <c:v>1.45</c:v>
                </c:pt>
                <c:pt idx="11">
                  <c:v>1.4450000000000001</c:v>
                </c:pt>
                <c:pt idx="12">
                  <c:v>1.4490000000000001</c:v>
                </c:pt>
                <c:pt idx="13">
                  <c:v>1.39</c:v>
                </c:pt>
                <c:pt idx="14">
                  <c:v>1.3680000000000001</c:v>
                </c:pt>
                <c:pt idx="15">
                  <c:v>1.381</c:v>
                </c:pt>
                <c:pt idx="16">
                  <c:v>1.373</c:v>
                </c:pt>
                <c:pt idx="17">
                  <c:v>1.3939999999999999</c:v>
                </c:pt>
                <c:pt idx="18">
                  <c:v>1.41</c:v>
                </c:pt>
                <c:pt idx="19">
                  <c:v>1.4550000000000001</c:v>
                </c:pt>
                <c:pt idx="20">
                  <c:v>1.464</c:v>
                </c:pt>
                <c:pt idx="21">
                  <c:v>1.47</c:v>
                </c:pt>
                <c:pt idx="22">
                  <c:v>1.4730000000000001</c:v>
                </c:pt>
                <c:pt idx="23">
                  <c:v>1.45</c:v>
                </c:pt>
                <c:pt idx="24">
                  <c:v>1.429</c:v>
                </c:pt>
                <c:pt idx="25">
                  <c:v>1.4490000000000001</c:v>
                </c:pt>
                <c:pt idx="26">
                  <c:v>1.4490000000000001</c:v>
                </c:pt>
                <c:pt idx="27">
                  <c:v>1.4610000000000001</c:v>
                </c:pt>
                <c:pt idx="28">
                  <c:v>1.4530000000000001</c:v>
                </c:pt>
                <c:pt idx="29">
                  <c:v>1.4670000000000001</c:v>
                </c:pt>
                <c:pt idx="30">
                  <c:v>1.4630000000000001</c:v>
                </c:pt>
                <c:pt idx="31">
                  <c:v>1.4690000000000001</c:v>
                </c:pt>
                <c:pt idx="32">
                  <c:v>1.486</c:v>
                </c:pt>
                <c:pt idx="33">
                  <c:v>1.488</c:v>
                </c:pt>
                <c:pt idx="34">
                  <c:v>1.5049999999999999</c:v>
                </c:pt>
                <c:pt idx="35">
                  <c:v>1.5269999999999999</c:v>
                </c:pt>
                <c:pt idx="36">
                  <c:v>1.5109999999999999</c:v>
                </c:pt>
                <c:pt idx="37">
                  <c:v>1.4950000000000001</c:v>
                </c:pt>
                <c:pt idx="38">
                  <c:v>1.524</c:v>
                </c:pt>
                <c:pt idx="39">
                  <c:v>1.526</c:v>
                </c:pt>
                <c:pt idx="40">
                  <c:v>1.5229999999999999</c:v>
                </c:pt>
                <c:pt idx="41">
                  <c:v>1.5049999999999999</c:v>
                </c:pt>
                <c:pt idx="42">
                  <c:v>1.5</c:v>
                </c:pt>
                <c:pt idx="43">
                  <c:v>1.53</c:v>
                </c:pt>
                <c:pt idx="44">
                  <c:v>1.5389999999999999</c:v>
                </c:pt>
                <c:pt idx="45">
                  <c:v>1.536</c:v>
                </c:pt>
                <c:pt idx="46">
                  <c:v>1.5629999999999999</c:v>
                </c:pt>
                <c:pt idx="47">
                  <c:v>1.577</c:v>
                </c:pt>
                <c:pt idx="48">
                  <c:v>1.591</c:v>
                </c:pt>
                <c:pt idx="49">
                  <c:v>1.6</c:v>
                </c:pt>
                <c:pt idx="50">
                  <c:v>1.613</c:v>
                </c:pt>
                <c:pt idx="51">
                  <c:v>1.643</c:v>
                </c:pt>
                <c:pt idx="52">
                  <c:v>1.6759999999999999</c:v>
                </c:pt>
                <c:pt idx="53">
                  <c:v>1.679</c:v>
                </c:pt>
                <c:pt idx="54">
                  <c:v>1.643</c:v>
                </c:pt>
                <c:pt idx="55">
                  <c:v>1.649</c:v>
                </c:pt>
                <c:pt idx="56">
                  <c:v>1.728</c:v>
                </c:pt>
                <c:pt idx="57">
                  <c:v>1.7350000000000001</c:v>
                </c:pt>
                <c:pt idx="58">
                  <c:v>1.696</c:v>
                </c:pt>
                <c:pt idx="59">
                  <c:v>1.663</c:v>
                </c:pt>
                <c:pt idx="60">
                  <c:v>1.625</c:v>
                </c:pt>
                <c:pt idx="61">
                  <c:v>1.587</c:v>
                </c:pt>
                <c:pt idx="62">
                  <c:v>1.5669999999999999</c:v>
                </c:pt>
                <c:pt idx="63">
                  <c:v>1.544</c:v>
                </c:pt>
                <c:pt idx="64">
                  <c:v>1.5669999999999999</c:v>
                </c:pt>
                <c:pt idx="65">
                  <c:v>1.548</c:v>
                </c:pt>
                <c:pt idx="66">
                  <c:v>1.5680000000000001</c:v>
                </c:pt>
                <c:pt idx="67">
                  <c:v>1.573</c:v>
                </c:pt>
                <c:pt idx="68">
                  <c:v>1.5660000000000001</c:v>
                </c:pt>
                <c:pt idx="69">
                  <c:v>1.5840000000000001</c:v>
                </c:pt>
                <c:pt idx="70">
                  <c:v>1.6020000000000001</c:v>
                </c:pt>
                <c:pt idx="71">
                  <c:v>1.6080000000000001</c:v>
                </c:pt>
                <c:pt idx="72">
                  <c:v>1.5980000000000001</c:v>
                </c:pt>
                <c:pt idx="73">
                  <c:v>1.601</c:v>
                </c:pt>
                <c:pt idx="74">
                  <c:v>1.6060000000000001</c:v>
                </c:pt>
                <c:pt idx="75">
                  <c:v>1.6180000000000001</c:v>
                </c:pt>
                <c:pt idx="76">
                  <c:v>1.631</c:v>
                </c:pt>
                <c:pt idx="77">
                  <c:v>1.6359999999999999</c:v>
                </c:pt>
                <c:pt idx="78">
                  <c:v>1.65</c:v>
                </c:pt>
                <c:pt idx="79">
                  <c:v>1.647</c:v>
                </c:pt>
                <c:pt idx="80">
                  <c:v>1.635</c:v>
                </c:pt>
                <c:pt idx="81">
                  <c:v>1.637</c:v>
                </c:pt>
                <c:pt idx="82">
                  <c:v>1.6319999999999999</c:v>
                </c:pt>
                <c:pt idx="83">
                  <c:v>1.5620000000000001</c:v>
                </c:pt>
                <c:pt idx="84">
                  <c:v>1.554</c:v>
                </c:pt>
                <c:pt idx="85">
                  <c:v>1.5429999999999999</c:v>
                </c:pt>
                <c:pt idx="86">
                  <c:v>1.508</c:v>
                </c:pt>
                <c:pt idx="87">
                  <c:v>1.502</c:v>
                </c:pt>
                <c:pt idx="88">
                  <c:v>1.4910000000000001</c:v>
                </c:pt>
                <c:pt idx="89">
                  <c:v>1.4850000000000001</c:v>
                </c:pt>
                <c:pt idx="90">
                  <c:v>1.4590000000000001</c:v>
                </c:pt>
                <c:pt idx="91">
                  <c:v>1.4610000000000001</c:v>
                </c:pt>
                <c:pt idx="92">
                  <c:v>1.4510000000000001</c:v>
                </c:pt>
                <c:pt idx="93">
                  <c:v>1.4430000000000001</c:v>
                </c:pt>
                <c:pt idx="94">
                  <c:v>1.4370000000000001</c:v>
                </c:pt>
                <c:pt idx="95">
                  <c:v>1.429</c:v>
                </c:pt>
                <c:pt idx="96">
                  <c:v>1.4239999999999999</c:v>
                </c:pt>
                <c:pt idx="97">
                  <c:v>1.4119999999999999</c:v>
                </c:pt>
                <c:pt idx="98">
                  <c:v>1.399</c:v>
                </c:pt>
                <c:pt idx="99">
                  <c:v>1.3779999999999999</c:v>
                </c:pt>
                <c:pt idx="100">
                  <c:v>1.3779999999999999</c:v>
                </c:pt>
                <c:pt idx="101">
                  <c:v>1.3740000000000001</c:v>
                </c:pt>
                <c:pt idx="102">
                  <c:v>1.401</c:v>
                </c:pt>
                <c:pt idx="103">
                  <c:v>1.401</c:v>
                </c:pt>
                <c:pt idx="104">
                  <c:v>1.401</c:v>
                </c:pt>
                <c:pt idx="105">
                  <c:v>1.401</c:v>
                </c:pt>
                <c:pt idx="106">
                  <c:v>1.3859999999999999</c:v>
                </c:pt>
                <c:pt idx="107">
                  <c:v>1.4159999999999999</c:v>
                </c:pt>
                <c:pt idx="108">
                  <c:v>1.4159999999999999</c:v>
                </c:pt>
                <c:pt idx="109">
                  <c:v>1.4159999999999999</c:v>
                </c:pt>
                <c:pt idx="110">
                  <c:v>1.401</c:v>
                </c:pt>
                <c:pt idx="111">
                  <c:v>1.429</c:v>
                </c:pt>
                <c:pt idx="112">
                  <c:v>1.474</c:v>
                </c:pt>
                <c:pt idx="113">
                  <c:v>1.5</c:v>
                </c:pt>
                <c:pt idx="114">
                  <c:v>1.5129999999999999</c:v>
                </c:pt>
                <c:pt idx="115">
                  <c:v>1.492</c:v>
                </c:pt>
                <c:pt idx="116">
                  <c:v>1.4510000000000001</c:v>
                </c:pt>
                <c:pt idx="117">
                  <c:v>1.4450000000000001</c:v>
                </c:pt>
                <c:pt idx="118">
                  <c:v>1.419</c:v>
                </c:pt>
                <c:pt idx="119">
                  <c:v>1.39</c:v>
                </c:pt>
                <c:pt idx="120">
                  <c:v>1.375</c:v>
                </c:pt>
                <c:pt idx="121">
                  <c:v>1.3640000000000001</c:v>
                </c:pt>
                <c:pt idx="122">
                  <c:v>1.3460000000000001</c:v>
                </c:pt>
                <c:pt idx="123">
                  <c:v>1.3660000000000001</c:v>
                </c:pt>
                <c:pt idx="124">
                  <c:v>1.3340000000000001</c:v>
                </c:pt>
                <c:pt idx="125">
                  <c:v>1.3129999999999999</c:v>
                </c:pt>
                <c:pt idx="126">
                  <c:v>1.24</c:v>
                </c:pt>
                <c:pt idx="127">
                  <c:v>1.2310000000000001</c:v>
                </c:pt>
                <c:pt idx="128">
                  <c:v>1.22</c:v>
                </c:pt>
                <c:pt idx="129">
                  <c:v>1.238</c:v>
                </c:pt>
                <c:pt idx="130">
                  <c:v>1.254</c:v>
                </c:pt>
                <c:pt idx="131">
                  <c:v>1.196</c:v>
                </c:pt>
                <c:pt idx="132">
                  <c:v>1.2230000000000001</c:v>
                </c:pt>
                <c:pt idx="133">
                  <c:v>1.244</c:v>
                </c:pt>
                <c:pt idx="134">
                  <c:v>1.256</c:v>
                </c:pt>
                <c:pt idx="135">
                  <c:v>1.2569999999999999</c:v>
                </c:pt>
                <c:pt idx="136">
                  <c:v>1.242</c:v>
                </c:pt>
                <c:pt idx="137">
                  <c:v>1.2330000000000001</c:v>
                </c:pt>
                <c:pt idx="138">
                  <c:v>1.242</c:v>
                </c:pt>
                <c:pt idx="139">
                  <c:v>1.2390000000000001</c:v>
                </c:pt>
                <c:pt idx="140">
                  <c:v>1.234</c:v>
                </c:pt>
                <c:pt idx="141">
                  <c:v>1.242</c:v>
                </c:pt>
                <c:pt idx="142">
                  <c:v>1.24</c:v>
                </c:pt>
                <c:pt idx="143">
                  <c:v>1.2270000000000001</c:v>
                </c:pt>
                <c:pt idx="144">
                  <c:v>1.208</c:v>
                </c:pt>
                <c:pt idx="145">
                  <c:v>1.2</c:v>
                </c:pt>
                <c:pt idx="146">
                  <c:v>1.2030000000000001</c:v>
                </c:pt>
                <c:pt idx="147">
                  <c:v>1.175</c:v>
                </c:pt>
                <c:pt idx="148">
                  <c:v>1.163</c:v>
                </c:pt>
                <c:pt idx="149">
                  <c:v>1.1379999999999999</c:v>
                </c:pt>
                <c:pt idx="150">
                  <c:v>1.159</c:v>
                </c:pt>
                <c:pt idx="151">
                  <c:v>1.173</c:v>
                </c:pt>
                <c:pt idx="152">
                  <c:v>1.1970000000000001</c:v>
                </c:pt>
                <c:pt idx="153">
                  <c:v>1.1719999999999999</c:v>
                </c:pt>
                <c:pt idx="154">
                  <c:v>1.1539999999999999</c:v>
                </c:pt>
                <c:pt idx="155">
                  <c:v>1.113</c:v>
                </c:pt>
                <c:pt idx="156">
                  <c:v>1.044</c:v>
                </c:pt>
                <c:pt idx="157">
                  <c:v>1.0509999999999999</c:v>
                </c:pt>
                <c:pt idx="158">
                  <c:v>1.1539999999999999</c:v>
                </c:pt>
                <c:pt idx="159">
                  <c:v>1.17</c:v>
                </c:pt>
                <c:pt idx="160">
                  <c:v>1.1879999999999999</c:v>
                </c:pt>
                <c:pt idx="161">
                  <c:v>1.1910000000000001</c:v>
                </c:pt>
                <c:pt idx="162">
                  <c:v>1.1890000000000001</c:v>
                </c:pt>
                <c:pt idx="163">
                  <c:v>1.159</c:v>
                </c:pt>
                <c:pt idx="164">
                  <c:v>1.1719999999999999</c:v>
                </c:pt>
                <c:pt idx="165">
                  <c:v>1.1639999999999999</c:v>
                </c:pt>
                <c:pt idx="166">
                  <c:v>1.101</c:v>
                </c:pt>
                <c:pt idx="167">
                  <c:v>1.0720000000000001</c:v>
                </c:pt>
                <c:pt idx="168">
                  <c:v>1.101</c:v>
                </c:pt>
                <c:pt idx="169">
                  <c:v>1.0920000000000001</c:v>
                </c:pt>
                <c:pt idx="170">
                  <c:v>1.056</c:v>
                </c:pt>
                <c:pt idx="171">
                  <c:v>1.0900000000000001</c:v>
                </c:pt>
                <c:pt idx="172">
                  <c:v>1.097</c:v>
                </c:pt>
                <c:pt idx="173">
                  <c:v>1.141</c:v>
                </c:pt>
                <c:pt idx="174">
                  <c:v>1.1160000000000001</c:v>
                </c:pt>
                <c:pt idx="175">
                  <c:v>1.141</c:v>
                </c:pt>
                <c:pt idx="176">
                  <c:v>1.1100000000000001</c:v>
                </c:pt>
                <c:pt idx="177">
                  <c:v>1.105</c:v>
                </c:pt>
                <c:pt idx="178">
                  <c:v>1.087</c:v>
                </c:pt>
                <c:pt idx="179">
                  <c:v>1.075</c:v>
                </c:pt>
                <c:pt idx="180">
                  <c:v>1.044</c:v>
                </c:pt>
                <c:pt idx="181">
                  <c:v>1.004</c:v>
                </c:pt>
                <c:pt idx="182">
                  <c:v>1.0489999999999999</c:v>
                </c:pt>
                <c:pt idx="183">
                  <c:v>1.0840000000000001</c:v>
                </c:pt>
                <c:pt idx="184">
                  <c:v>1.0860000000000001</c:v>
                </c:pt>
                <c:pt idx="185">
                  <c:v>1.1060000000000001</c:v>
                </c:pt>
                <c:pt idx="186">
                  <c:v>1.071</c:v>
                </c:pt>
                <c:pt idx="187">
                  <c:v>1.071</c:v>
                </c:pt>
                <c:pt idx="188">
                  <c:v>1.071</c:v>
                </c:pt>
                <c:pt idx="189">
                  <c:v>1.1160000000000001</c:v>
                </c:pt>
                <c:pt idx="190">
                  <c:v>1.073</c:v>
                </c:pt>
                <c:pt idx="191">
                  <c:v>1.091</c:v>
                </c:pt>
                <c:pt idx="192">
                  <c:v>1.024</c:v>
                </c:pt>
                <c:pt idx="193">
                  <c:v>1.0129999999999999</c:v>
                </c:pt>
                <c:pt idx="194">
                  <c:v>1.0009999999999999</c:v>
                </c:pt>
                <c:pt idx="195">
                  <c:v>1.0009999999999999</c:v>
                </c:pt>
                <c:pt idx="196">
                  <c:v>0.997</c:v>
                </c:pt>
                <c:pt idx="197">
                  <c:v>0.98399999999999999</c:v>
                </c:pt>
                <c:pt idx="198">
                  <c:v>0.98399999999999999</c:v>
                </c:pt>
                <c:pt idx="199">
                  <c:v>0.96399999999999997</c:v>
                </c:pt>
                <c:pt idx="200">
                  <c:v>0.96</c:v>
                </c:pt>
                <c:pt idx="201">
                  <c:v>0.98899999999999999</c:v>
                </c:pt>
                <c:pt idx="202">
                  <c:v>0.97799999999999998</c:v>
                </c:pt>
                <c:pt idx="203">
                  <c:v>0.99099999999999999</c:v>
                </c:pt>
                <c:pt idx="204">
                  <c:v>0.97099999999999997</c:v>
                </c:pt>
                <c:pt idx="205">
                  <c:v>0.95499999999999996</c:v>
                </c:pt>
                <c:pt idx="206">
                  <c:v>0.90500000000000003</c:v>
                </c:pt>
                <c:pt idx="207">
                  <c:v>0.875</c:v>
                </c:pt>
                <c:pt idx="208">
                  <c:v>0.88400000000000001</c:v>
                </c:pt>
                <c:pt idx="209">
                  <c:v>0.874</c:v>
                </c:pt>
                <c:pt idx="210">
                  <c:v>0.86799999999999999</c:v>
                </c:pt>
                <c:pt idx="211">
                  <c:v>0.85199999999999998</c:v>
                </c:pt>
                <c:pt idx="212">
                  <c:v>0.82599999999999996</c:v>
                </c:pt>
                <c:pt idx="213">
                  <c:v>0.81399999999999995</c:v>
                </c:pt>
                <c:pt idx="214">
                  <c:v>0.78700000000000003</c:v>
                </c:pt>
                <c:pt idx="215">
                  <c:v>0.73299999999999998</c:v>
                </c:pt>
                <c:pt idx="216">
                  <c:v>0.76400000000000001</c:v>
                </c:pt>
                <c:pt idx="217">
                  <c:v>0.71499999999999997</c:v>
                </c:pt>
                <c:pt idx="218">
                  <c:v>0.69199999999999995</c:v>
                </c:pt>
                <c:pt idx="219">
                  <c:v>0.66500000000000004</c:v>
                </c:pt>
                <c:pt idx="220">
                  <c:v>0.629</c:v>
                </c:pt>
                <c:pt idx="221">
                  <c:v>0.61</c:v>
                </c:pt>
                <c:pt idx="222">
                  <c:v>0.55300000000000005</c:v>
                </c:pt>
                <c:pt idx="223">
                  <c:v>0.60399999999999998</c:v>
                </c:pt>
                <c:pt idx="224">
                  <c:v>0.57899999999999996</c:v>
                </c:pt>
                <c:pt idx="225">
                  <c:v>0.57399999999999995</c:v>
                </c:pt>
                <c:pt idx="226">
                  <c:v>0.54300000000000004</c:v>
                </c:pt>
                <c:pt idx="227">
                  <c:v>0.5</c:v>
                </c:pt>
                <c:pt idx="228">
                  <c:v>0.52600000000000002</c:v>
                </c:pt>
                <c:pt idx="229">
                  <c:v>0.39300000000000002</c:v>
                </c:pt>
                <c:pt idx="230">
                  <c:v>0.40300000000000002</c:v>
                </c:pt>
                <c:pt idx="231">
                  <c:v>0.39200000000000002</c:v>
                </c:pt>
                <c:pt idx="232">
                  <c:v>0.438</c:v>
                </c:pt>
                <c:pt idx="233">
                  <c:v>0.40799999999999997</c:v>
                </c:pt>
                <c:pt idx="234">
                  <c:v>0.38</c:v>
                </c:pt>
                <c:pt idx="235">
                  <c:v>0.39300000000000002</c:v>
                </c:pt>
                <c:pt idx="236">
                  <c:v>0.39600000000000002</c:v>
                </c:pt>
                <c:pt idx="237">
                  <c:v>0.39500000000000002</c:v>
                </c:pt>
                <c:pt idx="238">
                  <c:v>0.33600000000000002</c:v>
                </c:pt>
                <c:pt idx="239">
                  <c:v>0.29299999999999998</c:v>
                </c:pt>
                <c:pt idx="240">
                  <c:v>0.214</c:v>
                </c:pt>
                <c:pt idx="241">
                  <c:v>0.248</c:v>
                </c:pt>
                <c:pt idx="242">
                  <c:v>0.32300000000000001</c:v>
                </c:pt>
                <c:pt idx="243">
                  <c:v>0.437</c:v>
                </c:pt>
                <c:pt idx="244">
                  <c:v>0.42</c:v>
                </c:pt>
                <c:pt idx="245">
                  <c:v>0.438</c:v>
                </c:pt>
                <c:pt idx="246">
                  <c:v>0.47599999999999998</c:v>
                </c:pt>
                <c:pt idx="247">
                  <c:v>0.56799999999999995</c:v>
                </c:pt>
                <c:pt idx="248">
                  <c:v>0.50800000000000001</c:v>
                </c:pt>
                <c:pt idx="249">
                  <c:v>0.49099999999999999</c:v>
                </c:pt>
                <c:pt idx="250">
                  <c:v>0.44700000000000001</c:v>
                </c:pt>
                <c:pt idx="251">
                  <c:v>0.40500000000000003</c:v>
                </c:pt>
                <c:pt idx="252">
                  <c:v>0.38800000000000001</c:v>
                </c:pt>
                <c:pt idx="253">
                  <c:v>0.39100000000000001</c:v>
                </c:pt>
                <c:pt idx="254">
                  <c:v>0.39400000000000002</c:v>
                </c:pt>
                <c:pt idx="255">
                  <c:v>0.34699999999999998</c:v>
                </c:pt>
                <c:pt idx="256">
                  <c:v>0.35699999999999998</c:v>
                </c:pt>
                <c:pt idx="257">
                  <c:v>0.372</c:v>
                </c:pt>
                <c:pt idx="258">
                  <c:v>0.35799999999999998</c:v>
                </c:pt>
                <c:pt idx="259">
                  <c:v>0.35199999999999998</c:v>
                </c:pt>
                <c:pt idx="260">
                  <c:v>0.28399999999999997</c:v>
                </c:pt>
                <c:pt idx="261">
                  <c:v>0.29399999999999998</c:v>
                </c:pt>
                <c:pt idx="262" formatCode="General">
                  <c:v>0.246</c:v>
                </c:pt>
                <c:pt idx="263" formatCode="General">
                  <c:v>0.246</c:v>
                </c:pt>
                <c:pt idx="264" formatCode="General">
                  <c:v>0.23100000000000001</c:v>
                </c:pt>
                <c:pt idx="265" formatCode="General">
                  <c:v>0.17100000000000001</c:v>
                </c:pt>
                <c:pt idx="266" formatCode="General">
                  <c:v>0.223</c:v>
                </c:pt>
                <c:pt idx="267" formatCode="General">
                  <c:v>0.26100000000000001</c:v>
                </c:pt>
                <c:pt idx="268" formatCode="General">
                  <c:v>0.23</c:v>
                </c:pt>
                <c:pt idx="269" formatCode="General">
                  <c:v>0.21</c:v>
                </c:pt>
                <c:pt idx="270" formatCode="General">
                  <c:v>0.14299999999999999</c:v>
                </c:pt>
                <c:pt idx="271" formatCode="General">
                  <c:v>3.5000000000000003E-2</c:v>
                </c:pt>
                <c:pt idx="272" formatCode="General">
                  <c:v>8.1000000000000003E-2</c:v>
                </c:pt>
                <c:pt idx="273" formatCode="General">
                  <c:v>0.13300000000000001</c:v>
                </c:pt>
                <c:pt idx="274" formatCode="General">
                  <c:v>9.6000000000000002E-2</c:v>
                </c:pt>
                <c:pt idx="275" formatCode="General">
                  <c:v>9.7000000000000003E-2</c:v>
                </c:pt>
                <c:pt idx="276" formatCode="General">
                  <c:v>0.14099999999999999</c:v>
                </c:pt>
                <c:pt idx="277" formatCode="General">
                  <c:v>0.13800000000000001</c:v>
                </c:pt>
                <c:pt idx="278" formatCode="General">
                  <c:v>0.13300000000000001</c:v>
                </c:pt>
                <c:pt idx="279" formatCode="General">
                  <c:v>8.3000000000000004E-2</c:v>
                </c:pt>
                <c:pt idx="280" formatCode="General">
                  <c:v>6.5000000000000002E-2</c:v>
                </c:pt>
                <c:pt idx="281" formatCode="General">
                  <c:v>0.10299999999999999</c:v>
                </c:pt>
                <c:pt idx="282" formatCode="General">
                  <c:v>0.105</c:v>
                </c:pt>
                <c:pt idx="283" formatCode="General">
                  <c:v>0.128</c:v>
                </c:pt>
                <c:pt idx="284" formatCode="General">
                  <c:v>0.109</c:v>
                </c:pt>
                <c:pt idx="285" formatCode="General">
                  <c:v>0.14899999999999999</c:v>
                </c:pt>
                <c:pt idx="286" formatCode="General">
                  <c:v>0.23499999999999999</c:v>
                </c:pt>
                <c:pt idx="287" formatCode="General">
                  <c:v>0.17299999999999999</c:v>
                </c:pt>
                <c:pt idx="288" formatCode="General">
                  <c:v>0.218</c:v>
                </c:pt>
                <c:pt idx="289" formatCode="General">
                  <c:v>0.25900000000000001</c:v>
                </c:pt>
                <c:pt idx="290" formatCode="General">
                  <c:v>0.255</c:v>
                </c:pt>
                <c:pt idx="291" formatCode="General">
                  <c:v>0.221</c:v>
                </c:pt>
                <c:pt idx="292" formatCode="General">
                  <c:v>0.30199999999999999</c:v>
                </c:pt>
                <c:pt idx="293" formatCode="General">
                  <c:v>0.25700000000000001</c:v>
                </c:pt>
                <c:pt idx="294" formatCode="General">
                  <c:v>0.28599999999999998</c:v>
                </c:pt>
                <c:pt idx="295" formatCode="General">
                  <c:v>0.22800000000000001</c:v>
                </c:pt>
                <c:pt idx="296" formatCode="General">
                  <c:v>0.249</c:v>
                </c:pt>
                <c:pt idx="297" formatCode="General">
                  <c:v>0.23599999999999999</c:v>
                </c:pt>
                <c:pt idx="298" formatCode="General">
                  <c:v>0.14899999999999999</c:v>
                </c:pt>
                <c:pt idx="299" formatCode="General">
                  <c:v>0.11799999999999999</c:v>
                </c:pt>
                <c:pt idx="300" formatCode="General">
                  <c:v>0.13300000000000001</c:v>
                </c:pt>
                <c:pt idx="301" formatCode="General">
                  <c:v>0.14899999999999999</c:v>
                </c:pt>
                <c:pt idx="302" formatCode="General">
                  <c:v>0.15</c:v>
                </c:pt>
                <c:pt idx="303" formatCode="General">
                  <c:v>0.14499999999999999</c:v>
                </c:pt>
              </c:numCache>
            </c:numRef>
          </c:val>
          <c:smooth val="0"/>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Yield'!$A$1979:$A$2282</c:f>
              <c:numCache>
                <c:formatCode>[$-409]mmm\-yy;@</c:formatCode>
                <c:ptCount val="304"/>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pt idx="66">
                  <c:v>43405</c:v>
                </c:pt>
                <c:pt idx="67">
                  <c:v>43406</c:v>
                </c:pt>
                <c:pt idx="68">
                  <c:v>43409</c:v>
                </c:pt>
                <c:pt idx="69">
                  <c:v>43410</c:v>
                </c:pt>
                <c:pt idx="70">
                  <c:v>43411</c:v>
                </c:pt>
                <c:pt idx="71">
                  <c:v>43412</c:v>
                </c:pt>
                <c:pt idx="72">
                  <c:v>43413</c:v>
                </c:pt>
                <c:pt idx="73">
                  <c:v>43416</c:v>
                </c:pt>
                <c:pt idx="74">
                  <c:v>43417</c:v>
                </c:pt>
                <c:pt idx="75">
                  <c:v>43418</c:v>
                </c:pt>
                <c:pt idx="76">
                  <c:v>43419</c:v>
                </c:pt>
                <c:pt idx="77">
                  <c:v>43420</c:v>
                </c:pt>
                <c:pt idx="78">
                  <c:v>43423</c:v>
                </c:pt>
                <c:pt idx="79">
                  <c:v>43424</c:v>
                </c:pt>
                <c:pt idx="80">
                  <c:v>43425</c:v>
                </c:pt>
                <c:pt idx="81">
                  <c:v>43426</c:v>
                </c:pt>
                <c:pt idx="82">
                  <c:v>43427</c:v>
                </c:pt>
                <c:pt idx="83">
                  <c:v>43430</c:v>
                </c:pt>
                <c:pt idx="84">
                  <c:v>43431</c:v>
                </c:pt>
                <c:pt idx="85">
                  <c:v>43432</c:v>
                </c:pt>
                <c:pt idx="86">
                  <c:v>43433</c:v>
                </c:pt>
                <c:pt idx="87">
                  <c:v>43434</c:v>
                </c:pt>
                <c:pt idx="88">
                  <c:v>43437</c:v>
                </c:pt>
                <c:pt idx="89">
                  <c:v>43438</c:v>
                </c:pt>
                <c:pt idx="90">
                  <c:v>43439</c:v>
                </c:pt>
                <c:pt idx="91">
                  <c:v>43440</c:v>
                </c:pt>
                <c:pt idx="92">
                  <c:v>43441</c:v>
                </c:pt>
                <c:pt idx="93">
                  <c:v>43444</c:v>
                </c:pt>
                <c:pt idx="94">
                  <c:v>43445</c:v>
                </c:pt>
                <c:pt idx="95">
                  <c:v>43446</c:v>
                </c:pt>
                <c:pt idx="96">
                  <c:v>43447</c:v>
                </c:pt>
                <c:pt idx="97">
                  <c:v>43448</c:v>
                </c:pt>
                <c:pt idx="98">
                  <c:v>43451</c:v>
                </c:pt>
                <c:pt idx="99">
                  <c:v>43452</c:v>
                </c:pt>
                <c:pt idx="100">
                  <c:v>43453</c:v>
                </c:pt>
                <c:pt idx="101">
                  <c:v>43454</c:v>
                </c:pt>
                <c:pt idx="102">
                  <c:v>43455</c:v>
                </c:pt>
                <c:pt idx="103">
                  <c:v>43458</c:v>
                </c:pt>
                <c:pt idx="104">
                  <c:v>43459</c:v>
                </c:pt>
                <c:pt idx="105">
                  <c:v>43460</c:v>
                </c:pt>
                <c:pt idx="106">
                  <c:v>43461</c:v>
                </c:pt>
                <c:pt idx="107">
                  <c:v>43462</c:v>
                </c:pt>
                <c:pt idx="108">
                  <c:v>43465</c:v>
                </c:pt>
                <c:pt idx="109">
                  <c:v>43466</c:v>
                </c:pt>
                <c:pt idx="110">
                  <c:v>43467</c:v>
                </c:pt>
                <c:pt idx="111">
                  <c:v>43468</c:v>
                </c:pt>
                <c:pt idx="112">
                  <c:v>43469</c:v>
                </c:pt>
                <c:pt idx="113">
                  <c:v>43472</c:v>
                </c:pt>
                <c:pt idx="114">
                  <c:v>43473</c:v>
                </c:pt>
                <c:pt idx="115">
                  <c:v>43474</c:v>
                </c:pt>
                <c:pt idx="116">
                  <c:v>43475</c:v>
                </c:pt>
                <c:pt idx="117">
                  <c:v>43476</c:v>
                </c:pt>
                <c:pt idx="118">
                  <c:v>43479</c:v>
                </c:pt>
                <c:pt idx="119">
                  <c:v>43480</c:v>
                </c:pt>
                <c:pt idx="120">
                  <c:v>43481</c:v>
                </c:pt>
                <c:pt idx="121">
                  <c:v>43482</c:v>
                </c:pt>
                <c:pt idx="122">
                  <c:v>43483</c:v>
                </c:pt>
                <c:pt idx="123">
                  <c:v>43486</c:v>
                </c:pt>
                <c:pt idx="124">
                  <c:v>43487</c:v>
                </c:pt>
                <c:pt idx="125">
                  <c:v>43488</c:v>
                </c:pt>
                <c:pt idx="126">
                  <c:v>43489</c:v>
                </c:pt>
                <c:pt idx="127">
                  <c:v>43490</c:v>
                </c:pt>
                <c:pt idx="128">
                  <c:v>43493</c:v>
                </c:pt>
                <c:pt idx="129">
                  <c:v>43494</c:v>
                </c:pt>
                <c:pt idx="130">
                  <c:v>43495</c:v>
                </c:pt>
                <c:pt idx="131">
                  <c:v>43496</c:v>
                </c:pt>
                <c:pt idx="132">
                  <c:v>43497</c:v>
                </c:pt>
                <c:pt idx="133">
                  <c:v>43500</c:v>
                </c:pt>
                <c:pt idx="134">
                  <c:v>43501</c:v>
                </c:pt>
                <c:pt idx="135">
                  <c:v>43502</c:v>
                </c:pt>
                <c:pt idx="136">
                  <c:v>43503</c:v>
                </c:pt>
                <c:pt idx="137">
                  <c:v>43504</c:v>
                </c:pt>
                <c:pt idx="138">
                  <c:v>43507</c:v>
                </c:pt>
                <c:pt idx="139">
                  <c:v>43508</c:v>
                </c:pt>
                <c:pt idx="140">
                  <c:v>43509</c:v>
                </c:pt>
                <c:pt idx="141">
                  <c:v>43510</c:v>
                </c:pt>
                <c:pt idx="142">
                  <c:v>43511</c:v>
                </c:pt>
                <c:pt idx="143">
                  <c:v>43514</c:v>
                </c:pt>
                <c:pt idx="144">
                  <c:v>43515</c:v>
                </c:pt>
                <c:pt idx="145">
                  <c:v>43516</c:v>
                </c:pt>
                <c:pt idx="146">
                  <c:v>43517</c:v>
                </c:pt>
                <c:pt idx="147">
                  <c:v>43518</c:v>
                </c:pt>
                <c:pt idx="148">
                  <c:v>43521</c:v>
                </c:pt>
                <c:pt idx="149">
                  <c:v>43522</c:v>
                </c:pt>
                <c:pt idx="150">
                  <c:v>43523</c:v>
                </c:pt>
                <c:pt idx="151">
                  <c:v>43524</c:v>
                </c:pt>
                <c:pt idx="152">
                  <c:v>43525</c:v>
                </c:pt>
                <c:pt idx="153">
                  <c:v>43528</c:v>
                </c:pt>
                <c:pt idx="154">
                  <c:v>43529</c:v>
                </c:pt>
                <c:pt idx="155">
                  <c:v>43530</c:v>
                </c:pt>
                <c:pt idx="156">
                  <c:v>43531</c:v>
                </c:pt>
                <c:pt idx="157">
                  <c:v>43532</c:v>
                </c:pt>
                <c:pt idx="158">
                  <c:v>43535</c:v>
                </c:pt>
                <c:pt idx="159">
                  <c:v>43536</c:v>
                </c:pt>
                <c:pt idx="160">
                  <c:v>43537</c:v>
                </c:pt>
                <c:pt idx="161">
                  <c:v>43538</c:v>
                </c:pt>
                <c:pt idx="162">
                  <c:v>43539</c:v>
                </c:pt>
                <c:pt idx="163">
                  <c:v>43542</c:v>
                </c:pt>
                <c:pt idx="164">
                  <c:v>43543</c:v>
                </c:pt>
                <c:pt idx="165">
                  <c:v>43544</c:v>
                </c:pt>
                <c:pt idx="166">
                  <c:v>43545</c:v>
                </c:pt>
                <c:pt idx="167">
                  <c:v>43546</c:v>
                </c:pt>
                <c:pt idx="168">
                  <c:v>43549</c:v>
                </c:pt>
                <c:pt idx="169">
                  <c:v>43550</c:v>
                </c:pt>
                <c:pt idx="170">
                  <c:v>43551</c:v>
                </c:pt>
                <c:pt idx="171">
                  <c:v>43552</c:v>
                </c:pt>
                <c:pt idx="172">
                  <c:v>43553</c:v>
                </c:pt>
                <c:pt idx="173">
                  <c:v>43556</c:v>
                </c:pt>
                <c:pt idx="174">
                  <c:v>43557</c:v>
                </c:pt>
                <c:pt idx="175">
                  <c:v>43558</c:v>
                </c:pt>
                <c:pt idx="176">
                  <c:v>43559</c:v>
                </c:pt>
                <c:pt idx="177">
                  <c:v>43560</c:v>
                </c:pt>
                <c:pt idx="178">
                  <c:v>43563</c:v>
                </c:pt>
                <c:pt idx="179">
                  <c:v>43564</c:v>
                </c:pt>
                <c:pt idx="180">
                  <c:v>43565</c:v>
                </c:pt>
                <c:pt idx="181">
                  <c:v>43566</c:v>
                </c:pt>
                <c:pt idx="182">
                  <c:v>43567</c:v>
                </c:pt>
                <c:pt idx="183">
                  <c:v>43570</c:v>
                </c:pt>
                <c:pt idx="184">
                  <c:v>43571</c:v>
                </c:pt>
                <c:pt idx="185">
                  <c:v>43572</c:v>
                </c:pt>
                <c:pt idx="186">
                  <c:v>43573</c:v>
                </c:pt>
                <c:pt idx="187">
                  <c:v>43574</c:v>
                </c:pt>
                <c:pt idx="188">
                  <c:v>43577</c:v>
                </c:pt>
                <c:pt idx="189">
                  <c:v>43578</c:v>
                </c:pt>
                <c:pt idx="190">
                  <c:v>43579</c:v>
                </c:pt>
                <c:pt idx="191">
                  <c:v>43580</c:v>
                </c:pt>
                <c:pt idx="192">
                  <c:v>43581</c:v>
                </c:pt>
                <c:pt idx="193">
                  <c:v>43584</c:v>
                </c:pt>
                <c:pt idx="194">
                  <c:v>43585</c:v>
                </c:pt>
                <c:pt idx="195">
                  <c:v>43586</c:v>
                </c:pt>
                <c:pt idx="196">
                  <c:v>43587</c:v>
                </c:pt>
                <c:pt idx="197">
                  <c:v>43588</c:v>
                </c:pt>
                <c:pt idx="198">
                  <c:v>43591</c:v>
                </c:pt>
                <c:pt idx="199">
                  <c:v>43592</c:v>
                </c:pt>
                <c:pt idx="200">
                  <c:v>43593</c:v>
                </c:pt>
                <c:pt idx="201">
                  <c:v>43594</c:v>
                </c:pt>
                <c:pt idx="202">
                  <c:v>43595</c:v>
                </c:pt>
                <c:pt idx="203">
                  <c:v>43598</c:v>
                </c:pt>
                <c:pt idx="204">
                  <c:v>43599</c:v>
                </c:pt>
                <c:pt idx="205">
                  <c:v>43600</c:v>
                </c:pt>
                <c:pt idx="206">
                  <c:v>43601</c:v>
                </c:pt>
                <c:pt idx="207">
                  <c:v>43602</c:v>
                </c:pt>
                <c:pt idx="208">
                  <c:v>43605</c:v>
                </c:pt>
                <c:pt idx="209">
                  <c:v>43606</c:v>
                </c:pt>
                <c:pt idx="210">
                  <c:v>43607</c:v>
                </c:pt>
                <c:pt idx="211">
                  <c:v>43608</c:v>
                </c:pt>
                <c:pt idx="212">
                  <c:v>43609</c:v>
                </c:pt>
                <c:pt idx="213">
                  <c:v>43612</c:v>
                </c:pt>
                <c:pt idx="214">
                  <c:v>43613</c:v>
                </c:pt>
                <c:pt idx="215">
                  <c:v>43614</c:v>
                </c:pt>
                <c:pt idx="216">
                  <c:v>43615</c:v>
                </c:pt>
                <c:pt idx="217">
                  <c:v>43616</c:v>
                </c:pt>
                <c:pt idx="218">
                  <c:v>43619</c:v>
                </c:pt>
                <c:pt idx="219">
                  <c:v>43620</c:v>
                </c:pt>
                <c:pt idx="220">
                  <c:v>43621</c:v>
                </c:pt>
                <c:pt idx="221">
                  <c:v>43622</c:v>
                </c:pt>
                <c:pt idx="222">
                  <c:v>43623</c:v>
                </c:pt>
                <c:pt idx="223">
                  <c:v>43626</c:v>
                </c:pt>
                <c:pt idx="224">
                  <c:v>43627</c:v>
                </c:pt>
                <c:pt idx="225">
                  <c:v>43628</c:v>
                </c:pt>
                <c:pt idx="226">
                  <c:v>43629</c:v>
                </c:pt>
                <c:pt idx="227">
                  <c:v>43630</c:v>
                </c:pt>
                <c:pt idx="228">
                  <c:v>43633</c:v>
                </c:pt>
                <c:pt idx="229">
                  <c:v>43634</c:v>
                </c:pt>
                <c:pt idx="230">
                  <c:v>43635</c:v>
                </c:pt>
                <c:pt idx="231">
                  <c:v>43636</c:v>
                </c:pt>
                <c:pt idx="232">
                  <c:v>43637</c:v>
                </c:pt>
                <c:pt idx="233">
                  <c:v>43640</c:v>
                </c:pt>
                <c:pt idx="234">
                  <c:v>43641</c:v>
                </c:pt>
                <c:pt idx="235">
                  <c:v>43642</c:v>
                </c:pt>
                <c:pt idx="236">
                  <c:v>43643</c:v>
                </c:pt>
                <c:pt idx="237">
                  <c:v>43644</c:v>
                </c:pt>
                <c:pt idx="238">
                  <c:v>43647</c:v>
                </c:pt>
                <c:pt idx="239">
                  <c:v>43648</c:v>
                </c:pt>
                <c:pt idx="240">
                  <c:v>43649</c:v>
                </c:pt>
                <c:pt idx="241">
                  <c:v>43650</c:v>
                </c:pt>
                <c:pt idx="242">
                  <c:v>43651</c:v>
                </c:pt>
                <c:pt idx="243">
                  <c:v>43654</c:v>
                </c:pt>
                <c:pt idx="244">
                  <c:v>43655</c:v>
                </c:pt>
                <c:pt idx="245">
                  <c:v>43656</c:v>
                </c:pt>
                <c:pt idx="246">
                  <c:v>43657</c:v>
                </c:pt>
                <c:pt idx="247">
                  <c:v>43658</c:v>
                </c:pt>
                <c:pt idx="248">
                  <c:v>43661</c:v>
                </c:pt>
                <c:pt idx="249">
                  <c:v>43662</c:v>
                </c:pt>
                <c:pt idx="250">
                  <c:v>43663</c:v>
                </c:pt>
                <c:pt idx="251">
                  <c:v>43664</c:v>
                </c:pt>
                <c:pt idx="252">
                  <c:v>43665</c:v>
                </c:pt>
                <c:pt idx="253">
                  <c:v>43668</c:v>
                </c:pt>
                <c:pt idx="254">
                  <c:v>43669</c:v>
                </c:pt>
                <c:pt idx="255">
                  <c:v>43670</c:v>
                </c:pt>
                <c:pt idx="256">
                  <c:v>43671</c:v>
                </c:pt>
                <c:pt idx="257">
                  <c:v>43672</c:v>
                </c:pt>
                <c:pt idx="258">
                  <c:v>43675</c:v>
                </c:pt>
                <c:pt idx="259">
                  <c:v>43676</c:v>
                </c:pt>
                <c:pt idx="260">
                  <c:v>43677</c:v>
                </c:pt>
                <c:pt idx="261">
                  <c:v>43678</c:v>
                </c:pt>
                <c:pt idx="262">
                  <c:v>43679</c:v>
                </c:pt>
                <c:pt idx="263">
                  <c:v>43682</c:v>
                </c:pt>
                <c:pt idx="264">
                  <c:v>43683</c:v>
                </c:pt>
                <c:pt idx="265">
                  <c:v>43684</c:v>
                </c:pt>
                <c:pt idx="266">
                  <c:v>43685</c:v>
                </c:pt>
                <c:pt idx="267">
                  <c:v>43686</c:v>
                </c:pt>
                <c:pt idx="268">
                  <c:v>43689</c:v>
                </c:pt>
                <c:pt idx="269">
                  <c:v>43690</c:v>
                </c:pt>
                <c:pt idx="270">
                  <c:v>43691</c:v>
                </c:pt>
                <c:pt idx="271">
                  <c:v>43692</c:v>
                </c:pt>
                <c:pt idx="272">
                  <c:v>43693</c:v>
                </c:pt>
                <c:pt idx="273">
                  <c:v>43696</c:v>
                </c:pt>
                <c:pt idx="274">
                  <c:v>43697</c:v>
                </c:pt>
                <c:pt idx="275">
                  <c:v>43698</c:v>
                </c:pt>
                <c:pt idx="276">
                  <c:v>43699</c:v>
                </c:pt>
                <c:pt idx="277">
                  <c:v>43700</c:v>
                </c:pt>
                <c:pt idx="278">
                  <c:v>43703</c:v>
                </c:pt>
                <c:pt idx="279">
                  <c:v>43704</c:v>
                </c:pt>
                <c:pt idx="280">
                  <c:v>43705</c:v>
                </c:pt>
                <c:pt idx="281">
                  <c:v>43706</c:v>
                </c:pt>
                <c:pt idx="282">
                  <c:v>43707</c:v>
                </c:pt>
                <c:pt idx="283">
                  <c:v>43710</c:v>
                </c:pt>
                <c:pt idx="284">
                  <c:v>43711</c:v>
                </c:pt>
                <c:pt idx="285">
                  <c:v>43712</c:v>
                </c:pt>
                <c:pt idx="286">
                  <c:v>43713</c:v>
                </c:pt>
                <c:pt idx="287">
                  <c:v>43714</c:v>
                </c:pt>
                <c:pt idx="288">
                  <c:v>43717</c:v>
                </c:pt>
                <c:pt idx="289">
                  <c:v>43718</c:v>
                </c:pt>
                <c:pt idx="290">
                  <c:v>43719</c:v>
                </c:pt>
                <c:pt idx="291">
                  <c:v>43720</c:v>
                </c:pt>
                <c:pt idx="292">
                  <c:v>43721</c:v>
                </c:pt>
                <c:pt idx="293">
                  <c:v>43724</c:v>
                </c:pt>
                <c:pt idx="294">
                  <c:v>43725</c:v>
                </c:pt>
                <c:pt idx="295">
                  <c:v>43726</c:v>
                </c:pt>
                <c:pt idx="296">
                  <c:v>43727</c:v>
                </c:pt>
                <c:pt idx="297">
                  <c:v>43728</c:v>
                </c:pt>
                <c:pt idx="298">
                  <c:v>43731</c:v>
                </c:pt>
                <c:pt idx="299">
                  <c:v>43732</c:v>
                </c:pt>
                <c:pt idx="300">
                  <c:v>43733</c:v>
                </c:pt>
                <c:pt idx="301">
                  <c:v>43734</c:v>
                </c:pt>
                <c:pt idx="302">
                  <c:v>43735</c:v>
                </c:pt>
                <c:pt idx="303">
                  <c:v>43738</c:v>
                </c:pt>
              </c:numCache>
            </c:numRef>
          </c:cat>
          <c:val>
            <c:numRef>
              <c:f>'10 Year Bond Yield'!$D$1979:$D$2282</c:f>
              <c:numCache>
                <c:formatCode>0.00</c:formatCode>
                <c:ptCount val="304"/>
                <c:pt idx="0">
                  <c:v>3.0064000000000002</c:v>
                </c:pt>
                <c:pt idx="1">
                  <c:v>2.9859</c:v>
                </c:pt>
                <c:pt idx="2">
                  <c:v>2.9487999999999999</c:v>
                </c:pt>
                <c:pt idx="3">
                  <c:v>2.9394999999999998</c:v>
                </c:pt>
                <c:pt idx="4">
                  <c:v>2.9729999999999999</c:v>
                </c:pt>
                <c:pt idx="5">
                  <c:v>2.96</c:v>
                </c:pt>
                <c:pt idx="6">
                  <c:v>2.9258000000000002</c:v>
                </c:pt>
                <c:pt idx="7">
                  <c:v>2.8732000000000002</c:v>
                </c:pt>
                <c:pt idx="8">
                  <c:v>2.8786</c:v>
                </c:pt>
                <c:pt idx="9">
                  <c:v>2.8984999999999999</c:v>
                </c:pt>
                <c:pt idx="10">
                  <c:v>2.8622999999999998</c:v>
                </c:pt>
                <c:pt idx="11">
                  <c:v>2.8658999999999999</c:v>
                </c:pt>
                <c:pt idx="12">
                  <c:v>2.8605</c:v>
                </c:pt>
                <c:pt idx="13">
                  <c:v>2.819</c:v>
                </c:pt>
                <c:pt idx="14">
                  <c:v>2.8298000000000001</c:v>
                </c:pt>
                <c:pt idx="15">
                  <c:v>2.8189000000000002</c:v>
                </c:pt>
                <c:pt idx="16">
                  <c:v>2.8260999999999998</c:v>
                </c:pt>
                <c:pt idx="17">
                  <c:v>2.8098000000000001</c:v>
                </c:pt>
                <c:pt idx="18">
                  <c:v>2.8458999999999999</c:v>
                </c:pt>
                <c:pt idx="19">
                  <c:v>2.8803999999999998</c:v>
                </c:pt>
                <c:pt idx="20">
                  <c:v>2.8839999999999999</c:v>
                </c:pt>
                <c:pt idx="21">
                  <c:v>2.855</c:v>
                </c:pt>
                <c:pt idx="22">
                  <c:v>2.8603999999999998</c:v>
                </c:pt>
                <c:pt idx="23">
                  <c:v>2.8603999999999998</c:v>
                </c:pt>
                <c:pt idx="24">
                  <c:v>2.8984999999999999</c:v>
                </c:pt>
                <c:pt idx="25">
                  <c:v>2.9022000000000001</c:v>
                </c:pt>
                <c:pt idx="26">
                  <c:v>2.8731</c:v>
                </c:pt>
                <c:pt idx="27">
                  <c:v>2.9388000000000001</c:v>
                </c:pt>
                <c:pt idx="28">
                  <c:v>2.9314</c:v>
                </c:pt>
                <c:pt idx="29">
                  <c:v>2.9754999999999998</c:v>
                </c:pt>
                <c:pt idx="30">
                  <c:v>2.9626000000000001</c:v>
                </c:pt>
                <c:pt idx="31">
                  <c:v>2.97</c:v>
                </c:pt>
                <c:pt idx="32">
                  <c:v>2.9958999999999998</c:v>
                </c:pt>
                <c:pt idx="33">
                  <c:v>2.9866999999999999</c:v>
                </c:pt>
                <c:pt idx="34">
                  <c:v>3.0550999999999999</c:v>
                </c:pt>
                <c:pt idx="35">
                  <c:v>3.0626000000000002</c:v>
                </c:pt>
                <c:pt idx="36">
                  <c:v>3.0626000000000002</c:v>
                </c:pt>
                <c:pt idx="37">
                  <c:v>3.0628000000000002</c:v>
                </c:pt>
                <c:pt idx="38">
                  <c:v>3.0889000000000002</c:v>
                </c:pt>
                <c:pt idx="39">
                  <c:v>3.0964</c:v>
                </c:pt>
                <c:pt idx="40">
                  <c:v>3.048</c:v>
                </c:pt>
                <c:pt idx="41">
                  <c:v>3.0518000000000001</c:v>
                </c:pt>
                <c:pt idx="42">
                  <c:v>3.0611999999999999</c:v>
                </c:pt>
                <c:pt idx="43">
                  <c:v>3.0836000000000001</c:v>
                </c:pt>
                <c:pt idx="44">
                  <c:v>3.0630999999999999</c:v>
                </c:pt>
                <c:pt idx="45">
                  <c:v>3.1812999999999998</c:v>
                </c:pt>
                <c:pt idx="46">
                  <c:v>3.1869999999999998</c:v>
                </c:pt>
                <c:pt idx="47">
                  <c:v>3.2328000000000001</c:v>
                </c:pt>
                <c:pt idx="48">
                  <c:v>3.2328000000000001</c:v>
                </c:pt>
                <c:pt idx="49">
                  <c:v>3.2063000000000001</c:v>
                </c:pt>
                <c:pt idx="50">
                  <c:v>3.1629</c:v>
                </c:pt>
                <c:pt idx="51">
                  <c:v>3.1497999999999999</c:v>
                </c:pt>
                <c:pt idx="52">
                  <c:v>3.1613000000000002</c:v>
                </c:pt>
                <c:pt idx="53">
                  <c:v>3.1556999999999999</c:v>
                </c:pt>
                <c:pt idx="54">
                  <c:v>3.1633</c:v>
                </c:pt>
                <c:pt idx="55">
                  <c:v>3.2050000000000001</c:v>
                </c:pt>
                <c:pt idx="56">
                  <c:v>3.1785999999999999</c:v>
                </c:pt>
                <c:pt idx="57">
                  <c:v>3.1920999999999999</c:v>
                </c:pt>
                <c:pt idx="58">
                  <c:v>3.1978</c:v>
                </c:pt>
                <c:pt idx="59">
                  <c:v>3.1676000000000002</c:v>
                </c:pt>
                <c:pt idx="60">
                  <c:v>3.1034999999999999</c:v>
                </c:pt>
                <c:pt idx="61">
                  <c:v>3.1166999999999998</c:v>
                </c:pt>
                <c:pt idx="62">
                  <c:v>3.0754999999999999</c:v>
                </c:pt>
                <c:pt idx="63">
                  <c:v>3.0849000000000002</c:v>
                </c:pt>
                <c:pt idx="64">
                  <c:v>3.1227</c:v>
                </c:pt>
                <c:pt idx="65">
                  <c:v>3.1435</c:v>
                </c:pt>
                <c:pt idx="66">
                  <c:v>3.1303000000000001</c:v>
                </c:pt>
                <c:pt idx="67">
                  <c:v>3.2121</c:v>
                </c:pt>
                <c:pt idx="68">
                  <c:v>3.2008000000000001</c:v>
                </c:pt>
                <c:pt idx="69">
                  <c:v>3.2275999999999998</c:v>
                </c:pt>
                <c:pt idx="70">
                  <c:v>3.2355</c:v>
                </c:pt>
                <c:pt idx="71">
                  <c:v>3.2372999999999998</c:v>
                </c:pt>
                <c:pt idx="72">
                  <c:v>3.1819000000000002</c:v>
                </c:pt>
                <c:pt idx="73">
                  <c:v>3.1819000000000002</c:v>
                </c:pt>
                <c:pt idx="74">
                  <c:v>3.1396999999999999</c:v>
                </c:pt>
                <c:pt idx="75">
                  <c:v>3.125</c:v>
                </c:pt>
                <c:pt idx="76">
                  <c:v>3.1103000000000001</c:v>
                </c:pt>
                <c:pt idx="77">
                  <c:v>3.0628000000000002</c:v>
                </c:pt>
                <c:pt idx="78">
                  <c:v>3.0628000000000002</c:v>
                </c:pt>
                <c:pt idx="79">
                  <c:v>3.0628000000000002</c:v>
                </c:pt>
                <c:pt idx="80">
                  <c:v>3.0627</c:v>
                </c:pt>
                <c:pt idx="81">
                  <c:v>3.0627</c:v>
                </c:pt>
                <c:pt idx="82">
                  <c:v>3.0390000000000001</c:v>
                </c:pt>
                <c:pt idx="83">
                  <c:v>3.0535000000000001</c:v>
                </c:pt>
                <c:pt idx="84">
                  <c:v>3.0571999999999999</c:v>
                </c:pt>
                <c:pt idx="85">
                  <c:v>3.0590000000000002</c:v>
                </c:pt>
                <c:pt idx="86">
                  <c:v>3.0297999999999998</c:v>
                </c:pt>
                <c:pt idx="87">
                  <c:v>2.9878999999999998</c:v>
                </c:pt>
                <c:pt idx="88">
                  <c:v>2.9697</c:v>
                </c:pt>
                <c:pt idx="89">
                  <c:v>2.9136000000000002</c:v>
                </c:pt>
                <c:pt idx="90">
                  <c:v>2.9136000000000002</c:v>
                </c:pt>
                <c:pt idx="91">
                  <c:v>2.8955000000000002</c:v>
                </c:pt>
                <c:pt idx="92">
                  <c:v>2.8450000000000002</c:v>
                </c:pt>
                <c:pt idx="93">
                  <c:v>2.8574999999999999</c:v>
                </c:pt>
                <c:pt idx="94">
                  <c:v>2.879</c:v>
                </c:pt>
                <c:pt idx="95">
                  <c:v>2.9096000000000002</c:v>
                </c:pt>
                <c:pt idx="96">
                  <c:v>2.9131</c:v>
                </c:pt>
                <c:pt idx="97">
                  <c:v>2.8895</c:v>
                </c:pt>
                <c:pt idx="98">
                  <c:v>2.8570000000000002</c:v>
                </c:pt>
                <c:pt idx="99">
                  <c:v>2.8174999999999999</c:v>
                </c:pt>
                <c:pt idx="100">
                  <c:v>2.7547999999999999</c:v>
                </c:pt>
                <c:pt idx="101">
                  <c:v>2.8065000000000002</c:v>
                </c:pt>
                <c:pt idx="102">
                  <c:v>2.7902</c:v>
                </c:pt>
                <c:pt idx="103">
                  <c:v>2.7383000000000002</c:v>
                </c:pt>
                <c:pt idx="104">
                  <c:v>2.7383000000000002</c:v>
                </c:pt>
                <c:pt idx="105">
                  <c:v>2.8079000000000001</c:v>
                </c:pt>
                <c:pt idx="106">
                  <c:v>2.7665999999999999</c:v>
                </c:pt>
                <c:pt idx="107">
                  <c:v>2.7181999999999999</c:v>
                </c:pt>
                <c:pt idx="108">
                  <c:v>2.6842000000000001</c:v>
                </c:pt>
                <c:pt idx="109">
                  <c:v>2.6842000000000001</c:v>
                </c:pt>
                <c:pt idx="110">
                  <c:v>2.6204000000000001</c:v>
                </c:pt>
                <c:pt idx="111">
                  <c:v>2.5535000000000001</c:v>
                </c:pt>
                <c:pt idx="112">
                  <c:v>2.6677</c:v>
                </c:pt>
                <c:pt idx="113">
                  <c:v>2.6960000000000002</c:v>
                </c:pt>
                <c:pt idx="114">
                  <c:v>2.7280000000000002</c:v>
                </c:pt>
                <c:pt idx="115">
                  <c:v>2.71</c:v>
                </c:pt>
                <c:pt idx="116">
                  <c:v>2.7421000000000002</c:v>
                </c:pt>
                <c:pt idx="117">
                  <c:v>2.7006999999999999</c:v>
                </c:pt>
                <c:pt idx="118">
                  <c:v>2.7023999999999999</c:v>
                </c:pt>
                <c:pt idx="119">
                  <c:v>2.7111999999999998</c:v>
                </c:pt>
                <c:pt idx="120">
                  <c:v>2.7218</c:v>
                </c:pt>
                <c:pt idx="121">
                  <c:v>2.7504</c:v>
                </c:pt>
                <c:pt idx="122">
                  <c:v>2.7841999999999998</c:v>
                </c:pt>
                <c:pt idx="123">
                  <c:v>2.7841999999999998</c:v>
                </c:pt>
                <c:pt idx="124">
                  <c:v>2.7391999999999999</c:v>
                </c:pt>
                <c:pt idx="125">
                  <c:v>2.7408999999999999</c:v>
                </c:pt>
                <c:pt idx="126">
                  <c:v>2.7157</c:v>
                </c:pt>
                <c:pt idx="127">
                  <c:v>2.7585000000000002</c:v>
                </c:pt>
                <c:pt idx="128">
                  <c:v>2.7440000000000002</c:v>
                </c:pt>
                <c:pt idx="129">
                  <c:v>2.7098</c:v>
                </c:pt>
                <c:pt idx="130">
                  <c:v>2.6775000000000002</c:v>
                </c:pt>
                <c:pt idx="131">
                  <c:v>2.6293000000000002</c:v>
                </c:pt>
                <c:pt idx="132">
                  <c:v>2.6842000000000001</c:v>
                </c:pt>
                <c:pt idx="133">
                  <c:v>2.7235</c:v>
                </c:pt>
                <c:pt idx="134">
                  <c:v>2.6983000000000001</c:v>
                </c:pt>
                <c:pt idx="135">
                  <c:v>2.6945999999999999</c:v>
                </c:pt>
                <c:pt idx="136">
                  <c:v>2.6572</c:v>
                </c:pt>
                <c:pt idx="137">
                  <c:v>2.6339000000000001</c:v>
                </c:pt>
                <c:pt idx="138">
                  <c:v>2.6536</c:v>
                </c:pt>
                <c:pt idx="139">
                  <c:v>2.6877</c:v>
                </c:pt>
                <c:pt idx="140">
                  <c:v>2.7021000000000002</c:v>
                </c:pt>
                <c:pt idx="141">
                  <c:v>2.6536</c:v>
                </c:pt>
                <c:pt idx="142">
                  <c:v>2.6625999999999999</c:v>
                </c:pt>
                <c:pt idx="143">
                  <c:v>2.6625999999999999</c:v>
                </c:pt>
                <c:pt idx="144">
                  <c:v>2.6339000000000001</c:v>
                </c:pt>
                <c:pt idx="145">
                  <c:v>2.6446999999999998</c:v>
                </c:pt>
                <c:pt idx="146">
                  <c:v>2.6913999999999998</c:v>
                </c:pt>
                <c:pt idx="147">
                  <c:v>2.6518000000000002</c:v>
                </c:pt>
                <c:pt idx="148">
                  <c:v>2.6625999999999999</c:v>
                </c:pt>
                <c:pt idx="149">
                  <c:v>2.6356999999999999</c:v>
                </c:pt>
                <c:pt idx="150">
                  <c:v>2.6825000000000001</c:v>
                </c:pt>
                <c:pt idx="151">
                  <c:v>2.7149999999999999</c:v>
                </c:pt>
                <c:pt idx="152">
                  <c:v>2.7530999999999999</c:v>
                </c:pt>
                <c:pt idx="153">
                  <c:v>2.7223000000000002</c:v>
                </c:pt>
                <c:pt idx="154">
                  <c:v>2.7168999999999999</c:v>
                </c:pt>
                <c:pt idx="155">
                  <c:v>2.6934</c:v>
                </c:pt>
                <c:pt idx="156">
                  <c:v>2.6393</c:v>
                </c:pt>
                <c:pt idx="157">
                  <c:v>2.6284999999999998</c:v>
                </c:pt>
                <c:pt idx="158">
                  <c:v>2.6393</c:v>
                </c:pt>
                <c:pt idx="159">
                  <c:v>2.6015000000000001</c:v>
                </c:pt>
                <c:pt idx="160">
                  <c:v>2.6213000000000002</c:v>
                </c:pt>
                <c:pt idx="161">
                  <c:v>2.6303000000000001</c:v>
                </c:pt>
                <c:pt idx="162">
                  <c:v>2.5871</c:v>
                </c:pt>
                <c:pt idx="163">
                  <c:v>2.6032999999999999</c:v>
                </c:pt>
                <c:pt idx="164">
                  <c:v>2.6122999999999998</c:v>
                </c:pt>
                <c:pt idx="165">
                  <c:v>2.5263</c:v>
                </c:pt>
                <c:pt idx="166">
                  <c:v>2.5369000000000002</c:v>
                </c:pt>
                <c:pt idx="167">
                  <c:v>2.4390000000000001</c:v>
                </c:pt>
                <c:pt idx="168">
                  <c:v>2.3982999999999999</c:v>
                </c:pt>
                <c:pt idx="169">
                  <c:v>2.423</c:v>
                </c:pt>
                <c:pt idx="170">
                  <c:v>2.3664999999999998</c:v>
                </c:pt>
                <c:pt idx="171">
                  <c:v>2.3946000000000001</c:v>
                </c:pt>
                <c:pt idx="172">
                  <c:v>2.4049999999999998</c:v>
                </c:pt>
                <c:pt idx="173">
                  <c:v>2.5009000000000001</c:v>
                </c:pt>
                <c:pt idx="174">
                  <c:v>2.4741</c:v>
                </c:pt>
                <c:pt idx="175">
                  <c:v>2.5240999999999998</c:v>
                </c:pt>
                <c:pt idx="176">
                  <c:v>2.5150999999999999</c:v>
                </c:pt>
                <c:pt idx="177">
                  <c:v>2.4954000000000001</c:v>
                </c:pt>
                <c:pt idx="178">
                  <c:v>2.5222000000000002</c:v>
                </c:pt>
                <c:pt idx="179">
                  <c:v>2.5005999999999999</c:v>
                </c:pt>
                <c:pt idx="180">
                  <c:v>2.4649000000000001</c:v>
                </c:pt>
                <c:pt idx="181">
                  <c:v>2.4969999999999999</c:v>
                </c:pt>
                <c:pt idx="182">
                  <c:v>2.5651000000000002</c:v>
                </c:pt>
                <c:pt idx="183">
                  <c:v>2.5543</c:v>
                </c:pt>
                <c:pt idx="184">
                  <c:v>2.5903999999999998</c:v>
                </c:pt>
                <c:pt idx="185">
                  <c:v>2.5939999999999999</c:v>
                </c:pt>
                <c:pt idx="186">
                  <c:v>2.5596000000000001</c:v>
                </c:pt>
                <c:pt idx="187">
                  <c:v>2.5596000000000001</c:v>
                </c:pt>
                <c:pt idx="188">
                  <c:v>2.5884999999999998</c:v>
                </c:pt>
                <c:pt idx="189">
                  <c:v>2.5649999999999999</c:v>
                </c:pt>
                <c:pt idx="190">
                  <c:v>2.5181</c:v>
                </c:pt>
                <c:pt idx="191">
                  <c:v>2.5325000000000002</c:v>
                </c:pt>
                <c:pt idx="192">
                  <c:v>2.4982000000000002</c:v>
                </c:pt>
                <c:pt idx="193">
                  <c:v>2.5251999999999999</c:v>
                </c:pt>
                <c:pt idx="194">
                  <c:v>2.5017999999999998</c:v>
                </c:pt>
                <c:pt idx="195">
                  <c:v>2.4998999999999998</c:v>
                </c:pt>
                <c:pt idx="196">
                  <c:v>2.5413999999999999</c:v>
                </c:pt>
                <c:pt idx="197">
                  <c:v>2.5249999999999999</c:v>
                </c:pt>
                <c:pt idx="198">
                  <c:v>2.4691999999999998</c:v>
                </c:pt>
                <c:pt idx="199">
                  <c:v>2.4565999999999999</c:v>
                </c:pt>
                <c:pt idx="200">
                  <c:v>2.4834999999999998</c:v>
                </c:pt>
                <c:pt idx="201">
                  <c:v>2.4422999999999999</c:v>
                </c:pt>
                <c:pt idx="202">
                  <c:v>2.4672000000000001</c:v>
                </c:pt>
                <c:pt idx="203">
                  <c:v>2.4015</c:v>
                </c:pt>
                <c:pt idx="204">
                  <c:v>2.4104000000000001</c:v>
                </c:pt>
                <c:pt idx="205">
                  <c:v>2.3732000000000002</c:v>
                </c:pt>
                <c:pt idx="206">
                  <c:v>2.3944000000000001</c:v>
                </c:pt>
                <c:pt idx="207">
                  <c:v>2.3908999999999998</c:v>
                </c:pt>
                <c:pt idx="208">
                  <c:v>2.4157000000000002</c:v>
                </c:pt>
                <c:pt idx="209">
                  <c:v>2.4264000000000001</c:v>
                </c:pt>
                <c:pt idx="210">
                  <c:v>2.3820000000000001</c:v>
                </c:pt>
                <c:pt idx="211">
                  <c:v>2.3184999999999998</c:v>
                </c:pt>
                <c:pt idx="212">
                  <c:v>2.3201999999999998</c:v>
                </c:pt>
                <c:pt idx="213">
                  <c:v>2.3201999999999998</c:v>
                </c:pt>
                <c:pt idx="214">
                  <c:v>2.2658</c:v>
                </c:pt>
                <c:pt idx="215">
                  <c:v>2.2605</c:v>
                </c:pt>
                <c:pt idx="216">
                  <c:v>2.2132999999999998</c:v>
                </c:pt>
                <c:pt idx="217">
                  <c:v>2.1246</c:v>
                </c:pt>
                <c:pt idx="218">
                  <c:v>2.0710000000000002</c:v>
                </c:pt>
                <c:pt idx="219">
                  <c:v>2.1295999999999999</c:v>
                </c:pt>
                <c:pt idx="220">
                  <c:v>2.1347999999999998</c:v>
                </c:pt>
                <c:pt idx="221">
                  <c:v>2.1173999999999999</c:v>
                </c:pt>
                <c:pt idx="222">
                  <c:v>2.0809000000000002</c:v>
                </c:pt>
                <c:pt idx="223">
                  <c:v>2.1484000000000001</c:v>
                </c:pt>
                <c:pt idx="224">
                  <c:v>2.1431</c:v>
                </c:pt>
                <c:pt idx="225">
                  <c:v>2.1204999999999998</c:v>
                </c:pt>
                <c:pt idx="226">
                  <c:v>2.0945</c:v>
                </c:pt>
                <c:pt idx="227">
                  <c:v>2.0804</c:v>
                </c:pt>
                <c:pt idx="228">
                  <c:v>2.0941999999999998</c:v>
                </c:pt>
                <c:pt idx="229">
                  <c:v>2.0594999999999999</c:v>
                </c:pt>
                <c:pt idx="230">
                  <c:v>2.0232999999999999</c:v>
                </c:pt>
                <c:pt idx="231">
                  <c:v>2.0284</c:v>
                </c:pt>
                <c:pt idx="232">
                  <c:v>2.0539999999999998</c:v>
                </c:pt>
                <c:pt idx="233">
                  <c:v>2.0143</c:v>
                </c:pt>
                <c:pt idx="234">
                  <c:v>1.9850000000000001</c:v>
                </c:pt>
                <c:pt idx="235">
                  <c:v>2.0468000000000002</c:v>
                </c:pt>
                <c:pt idx="236">
                  <c:v>2.0139999999999998</c:v>
                </c:pt>
                <c:pt idx="237">
                  <c:v>2.0051000000000001</c:v>
                </c:pt>
                <c:pt idx="238">
                  <c:v>2.024</c:v>
                </c:pt>
                <c:pt idx="239">
                  <c:v>1.974</c:v>
                </c:pt>
                <c:pt idx="240">
                  <c:v>1.9498</c:v>
                </c:pt>
                <c:pt idx="241">
                  <c:v>1.9498</c:v>
                </c:pt>
                <c:pt idx="242">
                  <c:v>2.0337999999999998</c:v>
                </c:pt>
                <c:pt idx="243">
                  <c:v>2.0476000000000001</c:v>
                </c:pt>
                <c:pt idx="244">
                  <c:v>2.0648</c:v>
                </c:pt>
                <c:pt idx="245">
                  <c:v>2.0613000000000001</c:v>
                </c:pt>
                <c:pt idx="246">
                  <c:v>2.1377999999999999</c:v>
                </c:pt>
                <c:pt idx="247">
                  <c:v>2.1219000000000001</c:v>
                </c:pt>
                <c:pt idx="248">
                  <c:v>2.0887000000000002</c:v>
                </c:pt>
                <c:pt idx="249">
                  <c:v>2.1025999999999998</c:v>
                </c:pt>
                <c:pt idx="250">
                  <c:v>2.0451000000000001</c:v>
                </c:pt>
                <c:pt idx="251">
                  <c:v>2.0242</c:v>
                </c:pt>
                <c:pt idx="252">
                  <c:v>2.0552000000000001</c:v>
                </c:pt>
                <c:pt idx="253">
                  <c:v>2.0464000000000002</c:v>
                </c:pt>
                <c:pt idx="254">
                  <c:v>2.0811999999999999</c:v>
                </c:pt>
                <c:pt idx="255">
                  <c:v>2.0428000000000002</c:v>
                </c:pt>
                <c:pt idx="256">
                  <c:v>2.081</c:v>
                </c:pt>
                <c:pt idx="257">
                  <c:v>2.0703</c:v>
                </c:pt>
                <c:pt idx="258">
                  <c:v>2.0649999999999999</c:v>
                </c:pt>
                <c:pt idx="259">
                  <c:v>2.0579999999999998</c:v>
                </c:pt>
                <c:pt idx="260">
                  <c:v>2.0144000000000002</c:v>
                </c:pt>
                <c:pt idx="261">
                  <c:v>1.8935</c:v>
                </c:pt>
                <c:pt idx="262" formatCode="General">
                  <c:v>1.8452</c:v>
                </c:pt>
                <c:pt idx="263" formatCode="General">
                  <c:v>1.7075</c:v>
                </c:pt>
                <c:pt idx="264" formatCode="General">
                  <c:v>1.7023000000000001</c:v>
                </c:pt>
                <c:pt idx="265" formatCode="General">
                  <c:v>1.7342</c:v>
                </c:pt>
                <c:pt idx="266" formatCode="General">
                  <c:v>1.7172000000000001</c:v>
                </c:pt>
                <c:pt idx="267" formatCode="General">
                  <c:v>1.7446999999999999</c:v>
                </c:pt>
                <c:pt idx="268" formatCode="General">
                  <c:v>1.6454</c:v>
                </c:pt>
                <c:pt idx="269" formatCode="General">
                  <c:v>1.7035</c:v>
                </c:pt>
                <c:pt idx="270" formatCode="General">
                  <c:v>1.5792000000000002</c:v>
                </c:pt>
                <c:pt idx="271" formatCode="General">
                  <c:v>1.5268999999999999</c:v>
                </c:pt>
                <c:pt idx="272" formatCode="General">
                  <c:v>1.5537999999999998</c:v>
                </c:pt>
                <c:pt idx="273" formatCode="General">
                  <c:v>1.6063000000000001</c:v>
                </c:pt>
                <c:pt idx="274" formatCode="General">
                  <c:v>1.5554999999999999</c:v>
                </c:pt>
                <c:pt idx="275" formatCode="General">
                  <c:v>1.5893000000000002</c:v>
                </c:pt>
                <c:pt idx="276" formatCode="General">
                  <c:v>1.6131</c:v>
                </c:pt>
                <c:pt idx="277" formatCode="General">
                  <c:v>1.5350999999999999</c:v>
                </c:pt>
                <c:pt idx="278" formatCode="General">
                  <c:v>1.5350999999999999</c:v>
                </c:pt>
                <c:pt idx="279" formatCode="General">
                  <c:v>1.4711000000000001</c:v>
                </c:pt>
                <c:pt idx="280" formatCode="General">
                  <c:v>1.4794</c:v>
                </c:pt>
                <c:pt idx="281" formatCode="General">
                  <c:v>1.4944999999999999</c:v>
                </c:pt>
                <c:pt idx="282">
                  <c:v>1.4961</c:v>
                </c:pt>
                <c:pt idx="283" formatCode="General">
                  <c:v>1.4961</c:v>
                </c:pt>
                <c:pt idx="284" formatCode="General">
                  <c:v>1.4573</c:v>
                </c:pt>
                <c:pt idx="285" formatCode="General">
                  <c:v>1.4657</c:v>
                </c:pt>
                <c:pt idx="286" formatCode="General">
                  <c:v>1.5586</c:v>
                </c:pt>
                <c:pt idx="287" formatCode="General">
                  <c:v>1.5602</c:v>
                </c:pt>
                <c:pt idx="288" formatCode="General">
                  <c:v>1.6438000000000001</c:v>
                </c:pt>
                <c:pt idx="289" formatCode="General">
                  <c:v>1.7316</c:v>
                </c:pt>
                <c:pt idx="290" formatCode="General">
                  <c:v>1.7385000000000002</c:v>
                </c:pt>
                <c:pt idx="291" formatCode="General">
                  <c:v>1.7715000000000001</c:v>
                </c:pt>
                <c:pt idx="292" formatCode="General">
                  <c:v>1.8957999999999999</c:v>
                </c:pt>
                <c:pt idx="293" formatCode="General">
                  <c:v>1.8467</c:v>
                </c:pt>
                <c:pt idx="294" formatCode="General">
                  <c:v>1.8012999999999999</c:v>
                </c:pt>
                <c:pt idx="295" formatCode="General">
                  <c:v>1.7961</c:v>
                </c:pt>
                <c:pt idx="296" formatCode="General">
                  <c:v>1.784</c:v>
                </c:pt>
                <c:pt idx="297" formatCode="General">
                  <c:v>1.7215</c:v>
                </c:pt>
                <c:pt idx="298" formatCode="General">
                  <c:v>1.7267000000000001</c:v>
                </c:pt>
                <c:pt idx="299" formatCode="General">
                  <c:v>1.6456</c:v>
                </c:pt>
                <c:pt idx="300" formatCode="General">
                  <c:v>1.7372000000000001</c:v>
                </c:pt>
                <c:pt idx="301" formatCode="General">
                  <c:v>1.6920999999999999</c:v>
                </c:pt>
                <c:pt idx="302" formatCode="General">
                  <c:v>1.6800999999999999</c:v>
                </c:pt>
                <c:pt idx="303" formatCode="General">
                  <c:v>1.6646000000000001</c:v>
                </c:pt>
              </c:numCache>
            </c:numRef>
          </c:val>
          <c:smooth val="0"/>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Yield'!$A$1979:$A$2282</c:f>
              <c:numCache>
                <c:formatCode>[$-409]mmm\-yy;@</c:formatCode>
                <c:ptCount val="304"/>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pt idx="66">
                  <c:v>43405</c:v>
                </c:pt>
                <c:pt idx="67">
                  <c:v>43406</c:v>
                </c:pt>
                <c:pt idx="68">
                  <c:v>43409</c:v>
                </c:pt>
                <c:pt idx="69">
                  <c:v>43410</c:v>
                </c:pt>
                <c:pt idx="70">
                  <c:v>43411</c:v>
                </c:pt>
                <c:pt idx="71">
                  <c:v>43412</c:v>
                </c:pt>
                <c:pt idx="72">
                  <c:v>43413</c:v>
                </c:pt>
                <c:pt idx="73">
                  <c:v>43416</c:v>
                </c:pt>
                <c:pt idx="74">
                  <c:v>43417</c:v>
                </c:pt>
                <c:pt idx="75">
                  <c:v>43418</c:v>
                </c:pt>
                <c:pt idx="76">
                  <c:v>43419</c:v>
                </c:pt>
                <c:pt idx="77">
                  <c:v>43420</c:v>
                </c:pt>
                <c:pt idx="78">
                  <c:v>43423</c:v>
                </c:pt>
                <c:pt idx="79">
                  <c:v>43424</c:v>
                </c:pt>
                <c:pt idx="80">
                  <c:v>43425</c:v>
                </c:pt>
                <c:pt idx="81">
                  <c:v>43426</c:v>
                </c:pt>
                <c:pt idx="82">
                  <c:v>43427</c:v>
                </c:pt>
                <c:pt idx="83">
                  <c:v>43430</c:v>
                </c:pt>
                <c:pt idx="84">
                  <c:v>43431</c:v>
                </c:pt>
                <c:pt idx="85">
                  <c:v>43432</c:v>
                </c:pt>
                <c:pt idx="86">
                  <c:v>43433</c:v>
                </c:pt>
                <c:pt idx="87">
                  <c:v>43434</c:v>
                </c:pt>
                <c:pt idx="88">
                  <c:v>43437</c:v>
                </c:pt>
                <c:pt idx="89">
                  <c:v>43438</c:v>
                </c:pt>
                <c:pt idx="90">
                  <c:v>43439</c:v>
                </c:pt>
                <c:pt idx="91">
                  <c:v>43440</c:v>
                </c:pt>
                <c:pt idx="92">
                  <c:v>43441</c:v>
                </c:pt>
                <c:pt idx="93">
                  <c:v>43444</c:v>
                </c:pt>
                <c:pt idx="94">
                  <c:v>43445</c:v>
                </c:pt>
                <c:pt idx="95">
                  <c:v>43446</c:v>
                </c:pt>
                <c:pt idx="96">
                  <c:v>43447</c:v>
                </c:pt>
                <c:pt idx="97">
                  <c:v>43448</c:v>
                </c:pt>
                <c:pt idx="98">
                  <c:v>43451</c:v>
                </c:pt>
                <c:pt idx="99">
                  <c:v>43452</c:v>
                </c:pt>
                <c:pt idx="100">
                  <c:v>43453</c:v>
                </c:pt>
                <c:pt idx="101">
                  <c:v>43454</c:v>
                </c:pt>
                <c:pt idx="102">
                  <c:v>43455</c:v>
                </c:pt>
                <c:pt idx="103">
                  <c:v>43458</c:v>
                </c:pt>
                <c:pt idx="104">
                  <c:v>43459</c:v>
                </c:pt>
                <c:pt idx="105">
                  <c:v>43460</c:v>
                </c:pt>
                <c:pt idx="106">
                  <c:v>43461</c:v>
                </c:pt>
                <c:pt idx="107">
                  <c:v>43462</c:v>
                </c:pt>
                <c:pt idx="108">
                  <c:v>43465</c:v>
                </c:pt>
                <c:pt idx="109">
                  <c:v>43466</c:v>
                </c:pt>
                <c:pt idx="110">
                  <c:v>43467</c:v>
                </c:pt>
                <c:pt idx="111">
                  <c:v>43468</c:v>
                </c:pt>
                <c:pt idx="112">
                  <c:v>43469</c:v>
                </c:pt>
                <c:pt idx="113">
                  <c:v>43472</c:v>
                </c:pt>
                <c:pt idx="114">
                  <c:v>43473</c:v>
                </c:pt>
                <c:pt idx="115">
                  <c:v>43474</c:v>
                </c:pt>
                <c:pt idx="116">
                  <c:v>43475</c:v>
                </c:pt>
                <c:pt idx="117">
                  <c:v>43476</c:v>
                </c:pt>
                <c:pt idx="118">
                  <c:v>43479</c:v>
                </c:pt>
                <c:pt idx="119">
                  <c:v>43480</c:v>
                </c:pt>
                <c:pt idx="120">
                  <c:v>43481</c:v>
                </c:pt>
                <c:pt idx="121">
                  <c:v>43482</c:v>
                </c:pt>
                <c:pt idx="122">
                  <c:v>43483</c:v>
                </c:pt>
                <c:pt idx="123">
                  <c:v>43486</c:v>
                </c:pt>
                <c:pt idx="124">
                  <c:v>43487</c:v>
                </c:pt>
                <c:pt idx="125">
                  <c:v>43488</c:v>
                </c:pt>
                <c:pt idx="126">
                  <c:v>43489</c:v>
                </c:pt>
                <c:pt idx="127">
                  <c:v>43490</c:v>
                </c:pt>
                <c:pt idx="128">
                  <c:v>43493</c:v>
                </c:pt>
                <c:pt idx="129">
                  <c:v>43494</c:v>
                </c:pt>
                <c:pt idx="130">
                  <c:v>43495</c:v>
                </c:pt>
                <c:pt idx="131">
                  <c:v>43496</c:v>
                </c:pt>
                <c:pt idx="132">
                  <c:v>43497</c:v>
                </c:pt>
                <c:pt idx="133">
                  <c:v>43500</c:v>
                </c:pt>
                <c:pt idx="134">
                  <c:v>43501</c:v>
                </c:pt>
                <c:pt idx="135">
                  <c:v>43502</c:v>
                </c:pt>
                <c:pt idx="136">
                  <c:v>43503</c:v>
                </c:pt>
                <c:pt idx="137">
                  <c:v>43504</c:v>
                </c:pt>
                <c:pt idx="138">
                  <c:v>43507</c:v>
                </c:pt>
                <c:pt idx="139">
                  <c:v>43508</c:v>
                </c:pt>
                <c:pt idx="140">
                  <c:v>43509</c:v>
                </c:pt>
                <c:pt idx="141">
                  <c:v>43510</c:v>
                </c:pt>
                <c:pt idx="142">
                  <c:v>43511</c:v>
                </c:pt>
                <c:pt idx="143">
                  <c:v>43514</c:v>
                </c:pt>
                <c:pt idx="144">
                  <c:v>43515</c:v>
                </c:pt>
                <c:pt idx="145">
                  <c:v>43516</c:v>
                </c:pt>
                <c:pt idx="146">
                  <c:v>43517</c:v>
                </c:pt>
                <c:pt idx="147">
                  <c:v>43518</c:v>
                </c:pt>
                <c:pt idx="148">
                  <c:v>43521</c:v>
                </c:pt>
                <c:pt idx="149">
                  <c:v>43522</c:v>
                </c:pt>
                <c:pt idx="150">
                  <c:v>43523</c:v>
                </c:pt>
                <c:pt idx="151">
                  <c:v>43524</c:v>
                </c:pt>
                <c:pt idx="152">
                  <c:v>43525</c:v>
                </c:pt>
                <c:pt idx="153">
                  <c:v>43528</c:v>
                </c:pt>
                <c:pt idx="154">
                  <c:v>43529</c:v>
                </c:pt>
                <c:pt idx="155">
                  <c:v>43530</c:v>
                </c:pt>
                <c:pt idx="156">
                  <c:v>43531</c:v>
                </c:pt>
                <c:pt idx="157">
                  <c:v>43532</c:v>
                </c:pt>
                <c:pt idx="158">
                  <c:v>43535</c:v>
                </c:pt>
                <c:pt idx="159">
                  <c:v>43536</c:v>
                </c:pt>
                <c:pt idx="160">
                  <c:v>43537</c:v>
                </c:pt>
                <c:pt idx="161">
                  <c:v>43538</c:v>
                </c:pt>
                <c:pt idx="162">
                  <c:v>43539</c:v>
                </c:pt>
                <c:pt idx="163">
                  <c:v>43542</c:v>
                </c:pt>
                <c:pt idx="164">
                  <c:v>43543</c:v>
                </c:pt>
                <c:pt idx="165">
                  <c:v>43544</c:v>
                </c:pt>
                <c:pt idx="166">
                  <c:v>43545</c:v>
                </c:pt>
                <c:pt idx="167">
                  <c:v>43546</c:v>
                </c:pt>
                <c:pt idx="168">
                  <c:v>43549</c:v>
                </c:pt>
                <c:pt idx="169">
                  <c:v>43550</c:v>
                </c:pt>
                <c:pt idx="170">
                  <c:v>43551</c:v>
                </c:pt>
                <c:pt idx="171">
                  <c:v>43552</c:v>
                </c:pt>
                <c:pt idx="172">
                  <c:v>43553</c:v>
                </c:pt>
                <c:pt idx="173">
                  <c:v>43556</c:v>
                </c:pt>
                <c:pt idx="174">
                  <c:v>43557</c:v>
                </c:pt>
                <c:pt idx="175">
                  <c:v>43558</c:v>
                </c:pt>
                <c:pt idx="176">
                  <c:v>43559</c:v>
                </c:pt>
                <c:pt idx="177">
                  <c:v>43560</c:v>
                </c:pt>
                <c:pt idx="178">
                  <c:v>43563</c:v>
                </c:pt>
                <c:pt idx="179">
                  <c:v>43564</c:v>
                </c:pt>
                <c:pt idx="180">
                  <c:v>43565</c:v>
                </c:pt>
                <c:pt idx="181">
                  <c:v>43566</c:v>
                </c:pt>
                <c:pt idx="182">
                  <c:v>43567</c:v>
                </c:pt>
                <c:pt idx="183">
                  <c:v>43570</c:v>
                </c:pt>
                <c:pt idx="184">
                  <c:v>43571</c:v>
                </c:pt>
                <c:pt idx="185">
                  <c:v>43572</c:v>
                </c:pt>
                <c:pt idx="186">
                  <c:v>43573</c:v>
                </c:pt>
                <c:pt idx="187">
                  <c:v>43574</c:v>
                </c:pt>
                <c:pt idx="188">
                  <c:v>43577</c:v>
                </c:pt>
                <c:pt idx="189">
                  <c:v>43578</c:v>
                </c:pt>
                <c:pt idx="190">
                  <c:v>43579</c:v>
                </c:pt>
                <c:pt idx="191">
                  <c:v>43580</c:v>
                </c:pt>
                <c:pt idx="192">
                  <c:v>43581</c:v>
                </c:pt>
                <c:pt idx="193">
                  <c:v>43584</c:v>
                </c:pt>
                <c:pt idx="194">
                  <c:v>43585</c:v>
                </c:pt>
                <c:pt idx="195">
                  <c:v>43586</c:v>
                </c:pt>
                <c:pt idx="196">
                  <c:v>43587</c:v>
                </c:pt>
                <c:pt idx="197">
                  <c:v>43588</c:v>
                </c:pt>
                <c:pt idx="198">
                  <c:v>43591</c:v>
                </c:pt>
                <c:pt idx="199">
                  <c:v>43592</c:v>
                </c:pt>
                <c:pt idx="200">
                  <c:v>43593</c:v>
                </c:pt>
                <c:pt idx="201">
                  <c:v>43594</c:v>
                </c:pt>
                <c:pt idx="202">
                  <c:v>43595</c:v>
                </c:pt>
                <c:pt idx="203">
                  <c:v>43598</c:v>
                </c:pt>
                <c:pt idx="204">
                  <c:v>43599</c:v>
                </c:pt>
                <c:pt idx="205">
                  <c:v>43600</c:v>
                </c:pt>
                <c:pt idx="206">
                  <c:v>43601</c:v>
                </c:pt>
                <c:pt idx="207">
                  <c:v>43602</c:v>
                </c:pt>
                <c:pt idx="208">
                  <c:v>43605</c:v>
                </c:pt>
                <c:pt idx="209">
                  <c:v>43606</c:v>
                </c:pt>
                <c:pt idx="210">
                  <c:v>43607</c:v>
                </c:pt>
                <c:pt idx="211">
                  <c:v>43608</c:v>
                </c:pt>
                <c:pt idx="212">
                  <c:v>43609</c:v>
                </c:pt>
                <c:pt idx="213">
                  <c:v>43612</c:v>
                </c:pt>
                <c:pt idx="214">
                  <c:v>43613</c:v>
                </c:pt>
                <c:pt idx="215">
                  <c:v>43614</c:v>
                </c:pt>
                <c:pt idx="216">
                  <c:v>43615</c:v>
                </c:pt>
                <c:pt idx="217">
                  <c:v>43616</c:v>
                </c:pt>
                <c:pt idx="218">
                  <c:v>43619</c:v>
                </c:pt>
                <c:pt idx="219">
                  <c:v>43620</c:v>
                </c:pt>
                <c:pt idx="220">
                  <c:v>43621</c:v>
                </c:pt>
                <c:pt idx="221">
                  <c:v>43622</c:v>
                </c:pt>
                <c:pt idx="222">
                  <c:v>43623</c:v>
                </c:pt>
                <c:pt idx="223">
                  <c:v>43626</c:v>
                </c:pt>
                <c:pt idx="224">
                  <c:v>43627</c:v>
                </c:pt>
                <c:pt idx="225">
                  <c:v>43628</c:v>
                </c:pt>
                <c:pt idx="226">
                  <c:v>43629</c:v>
                </c:pt>
                <c:pt idx="227">
                  <c:v>43630</c:v>
                </c:pt>
                <c:pt idx="228">
                  <c:v>43633</c:v>
                </c:pt>
                <c:pt idx="229">
                  <c:v>43634</c:v>
                </c:pt>
                <c:pt idx="230">
                  <c:v>43635</c:v>
                </c:pt>
                <c:pt idx="231">
                  <c:v>43636</c:v>
                </c:pt>
                <c:pt idx="232">
                  <c:v>43637</c:v>
                </c:pt>
                <c:pt idx="233">
                  <c:v>43640</c:v>
                </c:pt>
                <c:pt idx="234">
                  <c:v>43641</c:v>
                </c:pt>
                <c:pt idx="235">
                  <c:v>43642</c:v>
                </c:pt>
                <c:pt idx="236">
                  <c:v>43643</c:v>
                </c:pt>
                <c:pt idx="237">
                  <c:v>43644</c:v>
                </c:pt>
                <c:pt idx="238">
                  <c:v>43647</c:v>
                </c:pt>
                <c:pt idx="239">
                  <c:v>43648</c:v>
                </c:pt>
                <c:pt idx="240">
                  <c:v>43649</c:v>
                </c:pt>
                <c:pt idx="241">
                  <c:v>43650</c:v>
                </c:pt>
                <c:pt idx="242">
                  <c:v>43651</c:v>
                </c:pt>
                <c:pt idx="243">
                  <c:v>43654</c:v>
                </c:pt>
                <c:pt idx="244">
                  <c:v>43655</c:v>
                </c:pt>
                <c:pt idx="245">
                  <c:v>43656</c:v>
                </c:pt>
                <c:pt idx="246">
                  <c:v>43657</c:v>
                </c:pt>
                <c:pt idx="247">
                  <c:v>43658</c:v>
                </c:pt>
                <c:pt idx="248">
                  <c:v>43661</c:v>
                </c:pt>
                <c:pt idx="249">
                  <c:v>43662</c:v>
                </c:pt>
                <c:pt idx="250">
                  <c:v>43663</c:v>
                </c:pt>
                <c:pt idx="251">
                  <c:v>43664</c:v>
                </c:pt>
                <c:pt idx="252">
                  <c:v>43665</c:v>
                </c:pt>
                <c:pt idx="253">
                  <c:v>43668</c:v>
                </c:pt>
                <c:pt idx="254">
                  <c:v>43669</c:v>
                </c:pt>
                <c:pt idx="255">
                  <c:v>43670</c:v>
                </c:pt>
                <c:pt idx="256">
                  <c:v>43671</c:v>
                </c:pt>
                <c:pt idx="257">
                  <c:v>43672</c:v>
                </c:pt>
                <c:pt idx="258">
                  <c:v>43675</c:v>
                </c:pt>
                <c:pt idx="259">
                  <c:v>43676</c:v>
                </c:pt>
                <c:pt idx="260">
                  <c:v>43677</c:v>
                </c:pt>
                <c:pt idx="261">
                  <c:v>43678</c:v>
                </c:pt>
                <c:pt idx="262">
                  <c:v>43679</c:v>
                </c:pt>
                <c:pt idx="263">
                  <c:v>43682</c:v>
                </c:pt>
                <c:pt idx="264">
                  <c:v>43683</c:v>
                </c:pt>
                <c:pt idx="265">
                  <c:v>43684</c:v>
                </c:pt>
                <c:pt idx="266">
                  <c:v>43685</c:v>
                </c:pt>
                <c:pt idx="267">
                  <c:v>43686</c:v>
                </c:pt>
                <c:pt idx="268">
                  <c:v>43689</c:v>
                </c:pt>
                <c:pt idx="269">
                  <c:v>43690</c:v>
                </c:pt>
                <c:pt idx="270">
                  <c:v>43691</c:v>
                </c:pt>
                <c:pt idx="271">
                  <c:v>43692</c:v>
                </c:pt>
                <c:pt idx="272">
                  <c:v>43693</c:v>
                </c:pt>
                <c:pt idx="273">
                  <c:v>43696</c:v>
                </c:pt>
                <c:pt idx="274">
                  <c:v>43697</c:v>
                </c:pt>
                <c:pt idx="275">
                  <c:v>43698</c:v>
                </c:pt>
                <c:pt idx="276">
                  <c:v>43699</c:v>
                </c:pt>
                <c:pt idx="277">
                  <c:v>43700</c:v>
                </c:pt>
                <c:pt idx="278">
                  <c:v>43703</c:v>
                </c:pt>
                <c:pt idx="279">
                  <c:v>43704</c:v>
                </c:pt>
                <c:pt idx="280">
                  <c:v>43705</c:v>
                </c:pt>
                <c:pt idx="281">
                  <c:v>43706</c:v>
                </c:pt>
                <c:pt idx="282">
                  <c:v>43707</c:v>
                </c:pt>
                <c:pt idx="283">
                  <c:v>43710</c:v>
                </c:pt>
                <c:pt idx="284">
                  <c:v>43711</c:v>
                </c:pt>
                <c:pt idx="285">
                  <c:v>43712</c:v>
                </c:pt>
                <c:pt idx="286">
                  <c:v>43713</c:v>
                </c:pt>
                <c:pt idx="287">
                  <c:v>43714</c:v>
                </c:pt>
                <c:pt idx="288">
                  <c:v>43717</c:v>
                </c:pt>
                <c:pt idx="289">
                  <c:v>43718</c:v>
                </c:pt>
                <c:pt idx="290">
                  <c:v>43719</c:v>
                </c:pt>
                <c:pt idx="291">
                  <c:v>43720</c:v>
                </c:pt>
                <c:pt idx="292">
                  <c:v>43721</c:v>
                </c:pt>
                <c:pt idx="293">
                  <c:v>43724</c:v>
                </c:pt>
                <c:pt idx="294">
                  <c:v>43725</c:v>
                </c:pt>
                <c:pt idx="295">
                  <c:v>43726</c:v>
                </c:pt>
                <c:pt idx="296">
                  <c:v>43727</c:v>
                </c:pt>
                <c:pt idx="297">
                  <c:v>43728</c:v>
                </c:pt>
                <c:pt idx="298">
                  <c:v>43731</c:v>
                </c:pt>
                <c:pt idx="299">
                  <c:v>43732</c:v>
                </c:pt>
                <c:pt idx="300">
                  <c:v>43733</c:v>
                </c:pt>
                <c:pt idx="301">
                  <c:v>43734</c:v>
                </c:pt>
                <c:pt idx="302">
                  <c:v>43735</c:v>
                </c:pt>
                <c:pt idx="303">
                  <c:v>43738</c:v>
                </c:pt>
              </c:numCache>
            </c:numRef>
          </c:cat>
          <c:val>
            <c:numRef>
              <c:f>'10 Year Bond Yield'!$E$1979:$E$2282</c:f>
              <c:numCache>
                <c:formatCode>0.00</c:formatCode>
                <c:ptCount val="304"/>
                <c:pt idx="0">
                  <c:v>1.38</c:v>
                </c:pt>
                <c:pt idx="1">
                  <c:v>1.377</c:v>
                </c:pt>
                <c:pt idx="2">
                  <c:v>1.329</c:v>
                </c:pt>
                <c:pt idx="3">
                  <c:v>1.304</c:v>
                </c:pt>
                <c:pt idx="4">
                  <c:v>1.325</c:v>
                </c:pt>
                <c:pt idx="5">
                  <c:v>1.3129999999999999</c:v>
                </c:pt>
                <c:pt idx="6">
                  <c:v>1.296</c:v>
                </c:pt>
                <c:pt idx="7">
                  <c:v>1.242</c:v>
                </c:pt>
                <c:pt idx="8">
                  <c:v>1.252</c:v>
                </c:pt>
                <c:pt idx="9">
                  <c:v>1.2629999999999999</c:v>
                </c:pt>
                <c:pt idx="10">
                  <c:v>1.2250000000000001</c:v>
                </c:pt>
                <c:pt idx="11">
                  <c:v>1.24</c:v>
                </c:pt>
                <c:pt idx="12">
                  <c:v>1.236</c:v>
                </c:pt>
                <c:pt idx="13">
                  <c:v>1.2230000000000001</c:v>
                </c:pt>
                <c:pt idx="14">
                  <c:v>1.2669999999999999</c:v>
                </c:pt>
                <c:pt idx="15">
                  <c:v>1.272</c:v>
                </c:pt>
                <c:pt idx="16">
                  <c:v>1.27</c:v>
                </c:pt>
                <c:pt idx="17">
                  <c:v>1.278</c:v>
                </c:pt>
                <c:pt idx="18">
                  <c:v>1.278</c:v>
                </c:pt>
                <c:pt idx="19">
                  <c:v>1.452</c:v>
                </c:pt>
                <c:pt idx="20">
                  <c:v>1.4890000000000001</c:v>
                </c:pt>
                <c:pt idx="21">
                  <c:v>1.4550000000000001</c:v>
                </c:pt>
                <c:pt idx="22">
                  <c:v>1.427</c:v>
                </c:pt>
                <c:pt idx="23">
                  <c:v>1.4039999999999999</c:v>
                </c:pt>
                <c:pt idx="24">
                  <c:v>1.429</c:v>
                </c:pt>
                <c:pt idx="25">
                  <c:v>1.4419999999999999</c:v>
                </c:pt>
                <c:pt idx="26">
                  <c:v>1.4159999999999999</c:v>
                </c:pt>
                <c:pt idx="27">
                  <c:v>1.4590000000000001</c:v>
                </c:pt>
                <c:pt idx="28">
                  <c:v>1.4690000000000001</c:v>
                </c:pt>
                <c:pt idx="29">
                  <c:v>1.5</c:v>
                </c:pt>
                <c:pt idx="30">
                  <c:v>1.484</c:v>
                </c:pt>
                <c:pt idx="31">
                  <c:v>1.504</c:v>
                </c:pt>
                <c:pt idx="32">
                  <c:v>1.53</c:v>
                </c:pt>
                <c:pt idx="33">
                  <c:v>1.536</c:v>
                </c:pt>
                <c:pt idx="34">
                  <c:v>1.5680000000000001</c:v>
                </c:pt>
                <c:pt idx="35">
                  <c:v>1.6080000000000001</c:v>
                </c:pt>
                <c:pt idx="36">
                  <c:v>1.585</c:v>
                </c:pt>
                <c:pt idx="37">
                  <c:v>1.5529999999999999</c:v>
                </c:pt>
                <c:pt idx="38">
                  <c:v>1.613</c:v>
                </c:pt>
                <c:pt idx="39">
                  <c:v>1.6319999999999999</c:v>
                </c:pt>
                <c:pt idx="40">
                  <c:v>1.593</c:v>
                </c:pt>
                <c:pt idx="41">
                  <c:v>1.5980000000000001</c:v>
                </c:pt>
                <c:pt idx="42">
                  <c:v>1.573</c:v>
                </c:pt>
                <c:pt idx="43">
                  <c:v>1.5880000000000001</c:v>
                </c:pt>
                <c:pt idx="44">
                  <c:v>1.528</c:v>
                </c:pt>
                <c:pt idx="45">
                  <c:v>1.575</c:v>
                </c:pt>
                <c:pt idx="46">
                  <c:v>1.669</c:v>
                </c:pt>
                <c:pt idx="47">
                  <c:v>1.722</c:v>
                </c:pt>
                <c:pt idx="48">
                  <c:v>1.6739999999999999</c:v>
                </c:pt>
                <c:pt idx="49">
                  <c:v>1.716</c:v>
                </c:pt>
                <c:pt idx="50">
                  <c:v>1.728</c:v>
                </c:pt>
                <c:pt idx="51">
                  <c:v>1.6739999999999999</c:v>
                </c:pt>
                <c:pt idx="52">
                  <c:v>1.633</c:v>
                </c:pt>
                <c:pt idx="53">
                  <c:v>1.61</c:v>
                </c:pt>
                <c:pt idx="54">
                  <c:v>1.609</c:v>
                </c:pt>
                <c:pt idx="55">
                  <c:v>1.575</c:v>
                </c:pt>
                <c:pt idx="56">
                  <c:v>1.538</c:v>
                </c:pt>
                <c:pt idx="57">
                  <c:v>1.5760000000000001</c:v>
                </c:pt>
                <c:pt idx="58">
                  <c:v>1.5269999999999999</c:v>
                </c:pt>
                <c:pt idx="59">
                  <c:v>1.4690000000000001</c:v>
                </c:pt>
                <c:pt idx="60">
                  <c:v>1.4570000000000001</c:v>
                </c:pt>
                <c:pt idx="61">
                  <c:v>1.4410000000000001</c:v>
                </c:pt>
                <c:pt idx="62">
                  <c:v>1.383</c:v>
                </c:pt>
                <c:pt idx="63">
                  <c:v>1.399</c:v>
                </c:pt>
                <c:pt idx="64">
                  <c:v>1.399</c:v>
                </c:pt>
                <c:pt idx="65">
                  <c:v>1.4370000000000001</c:v>
                </c:pt>
                <c:pt idx="66">
                  <c:v>1.4550000000000001</c:v>
                </c:pt>
                <c:pt idx="67">
                  <c:v>1.494</c:v>
                </c:pt>
                <c:pt idx="68">
                  <c:v>1.5009999999999999</c:v>
                </c:pt>
                <c:pt idx="69">
                  <c:v>1.5389999999999999</c:v>
                </c:pt>
                <c:pt idx="70">
                  <c:v>1.5329999999999999</c:v>
                </c:pt>
                <c:pt idx="71">
                  <c:v>1.5649999999999999</c:v>
                </c:pt>
                <c:pt idx="72">
                  <c:v>1.4910000000000001</c:v>
                </c:pt>
                <c:pt idx="73">
                  <c:v>1.452</c:v>
                </c:pt>
                <c:pt idx="74">
                  <c:v>1.5209999999999999</c:v>
                </c:pt>
                <c:pt idx="75">
                  <c:v>1.506</c:v>
                </c:pt>
                <c:pt idx="76">
                  <c:v>1.373</c:v>
                </c:pt>
                <c:pt idx="77">
                  <c:v>1.4119999999999999</c:v>
                </c:pt>
                <c:pt idx="78">
                  <c:v>1.3779999999999999</c:v>
                </c:pt>
                <c:pt idx="79">
                  <c:v>1.383</c:v>
                </c:pt>
                <c:pt idx="80">
                  <c:v>1.3959999999999999</c:v>
                </c:pt>
                <c:pt idx="81">
                  <c:v>1.4279999999999999</c:v>
                </c:pt>
                <c:pt idx="82">
                  <c:v>1.381</c:v>
                </c:pt>
                <c:pt idx="83">
                  <c:v>1.41</c:v>
                </c:pt>
                <c:pt idx="84">
                  <c:v>1.3919999999999999</c:v>
                </c:pt>
                <c:pt idx="85">
                  <c:v>1.377</c:v>
                </c:pt>
                <c:pt idx="86">
                  <c:v>1.367</c:v>
                </c:pt>
                <c:pt idx="87">
                  <c:v>1.3640000000000001</c:v>
                </c:pt>
                <c:pt idx="88">
                  <c:v>1.3129999999999999</c:v>
                </c:pt>
                <c:pt idx="89">
                  <c:v>1.2809999999999999</c:v>
                </c:pt>
                <c:pt idx="90">
                  <c:v>1.3149999999999999</c:v>
                </c:pt>
                <c:pt idx="91">
                  <c:v>1.246</c:v>
                </c:pt>
                <c:pt idx="92">
                  <c:v>1.2649999999999999</c:v>
                </c:pt>
                <c:pt idx="93">
                  <c:v>1.1990000000000001</c:v>
                </c:pt>
                <c:pt idx="94">
                  <c:v>1.1879999999999999</c:v>
                </c:pt>
                <c:pt idx="95">
                  <c:v>1.2789999999999999</c:v>
                </c:pt>
                <c:pt idx="96">
                  <c:v>1.2889999999999999</c:v>
                </c:pt>
                <c:pt idx="97">
                  <c:v>1.24</c:v>
                </c:pt>
                <c:pt idx="98">
                  <c:v>1.266</c:v>
                </c:pt>
                <c:pt idx="99">
                  <c:v>1.28</c:v>
                </c:pt>
                <c:pt idx="100">
                  <c:v>1.274</c:v>
                </c:pt>
                <c:pt idx="101">
                  <c:v>1.266</c:v>
                </c:pt>
                <c:pt idx="102">
                  <c:v>1.321</c:v>
                </c:pt>
                <c:pt idx="103">
                  <c:v>1.2629999999999999</c:v>
                </c:pt>
                <c:pt idx="104">
                  <c:v>1.2629999999999999</c:v>
                </c:pt>
                <c:pt idx="105">
                  <c:v>1.2629999999999999</c:v>
                </c:pt>
                <c:pt idx="106">
                  <c:v>1.3089999999999999</c:v>
                </c:pt>
                <c:pt idx="107">
                  <c:v>1.2689999999999999</c:v>
                </c:pt>
                <c:pt idx="108">
                  <c:v>1.2769999999999999</c:v>
                </c:pt>
                <c:pt idx="109">
                  <c:v>1.2769999999999999</c:v>
                </c:pt>
                <c:pt idx="110">
                  <c:v>1.2090000000000001</c:v>
                </c:pt>
                <c:pt idx="111">
                  <c:v>1.194</c:v>
                </c:pt>
                <c:pt idx="112">
                  <c:v>1.276</c:v>
                </c:pt>
                <c:pt idx="113">
                  <c:v>1.254</c:v>
                </c:pt>
                <c:pt idx="114">
                  <c:v>1.274</c:v>
                </c:pt>
                <c:pt idx="115">
                  <c:v>1.2609999999999999</c:v>
                </c:pt>
                <c:pt idx="116">
                  <c:v>1.274</c:v>
                </c:pt>
                <c:pt idx="117">
                  <c:v>1.29</c:v>
                </c:pt>
                <c:pt idx="118">
                  <c:v>1.2969999999999999</c:v>
                </c:pt>
                <c:pt idx="119">
                  <c:v>1.258</c:v>
                </c:pt>
                <c:pt idx="120">
                  <c:v>1.3109999999999999</c:v>
                </c:pt>
                <c:pt idx="121">
                  <c:v>1.337</c:v>
                </c:pt>
                <c:pt idx="122">
                  <c:v>1.353</c:v>
                </c:pt>
                <c:pt idx="123">
                  <c:v>1.323</c:v>
                </c:pt>
                <c:pt idx="124">
                  <c:v>1.323</c:v>
                </c:pt>
                <c:pt idx="125">
                  <c:v>1.3260000000000001</c:v>
                </c:pt>
                <c:pt idx="126">
                  <c:v>1.2649999999999999</c:v>
                </c:pt>
                <c:pt idx="127">
                  <c:v>1.3049999999999999</c:v>
                </c:pt>
                <c:pt idx="128">
                  <c:v>1.2649999999999999</c:v>
                </c:pt>
                <c:pt idx="129">
                  <c:v>1.2689999999999999</c:v>
                </c:pt>
                <c:pt idx="130">
                  <c:v>1.2549999999999999</c:v>
                </c:pt>
                <c:pt idx="131">
                  <c:v>1.2190000000000001</c:v>
                </c:pt>
                <c:pt idx="132">
                  <c:v>1.248</c:v>
                </c:pt>
                <c:pt idx="133">
                  <c:v>1.2769999999999999</c:v>
                </c:pt>
                <c:pt idx="134">
                  <c:v>1.232</c:v>
                </c:pt>
                <c:pt idx="135">
                  <c:v>1.216</c:v>
                </c:pt>
                <c:pt idx="136">
                  <c:v>1.177</c:v>
                </c:pt>
                <c:pt idx="137">
                  <c:v>1.151</c:v>
                </c:pt>
                <c:pt idx="138">
                  <c:v>1.18</c:v>
                </c:pt>
                <c:pt idx="139">
                  <c:v>1.1850000000000001</c:v>
                </c:pt>
                <c:pt idx="140">
                  <c:v>1.1819999999999999</c:v>
                </c:pt>
                <c:pt idx="141">
                  <c:v>1.1499999999999999</c:v>
                </c:pt>
                <c:pt idx="142">
                  <c:v>1.1599999999999999</c:v>
                </c:pt>
                <c:pt idx="143">
                  <c:v>1.1659999999999999</c:v>
                </c:pt>
                <c:pt idx="144">
                  <c:v>1.169</c:v>
                </c:pt>
                <c:pt idx="145">
                  <c:v>1.181</c:v>
                </c:pt>
                <c:pt idx="146">
                  <c:v>1.202</c:v>
                </c:pt>
                <c:pt idx="147">
                  <c:v>1.1579999999999999</c:v>
                </c:pt>
                <c:pt idx="148">
                  <c:v>1.1759999999999999</c:v>
                </c:pt>
                <c:pt idx="149">
                  <c:v>1.206</c:v>
                </c:pt>
                <c:pt idx="150">
                  <c:v>1.274</c:v>
                </c:pt>
                <c:pt idx="151">
                  <c:v>1.302</c:v>
                </c:pt>
                <c:pt idx="152">
                  <c:v>1.296</c:v>
                </c:pt>
                <c:pt idx="153">
                  <c:v>1.2729999999999999</c:v>
                </c:pt>
                <c:pt idx="154">
                  <c:v>1.2869999999999999</c:v>
                </c:pt>
                <c:pt idx="155">
                  <c:v>1.2270000000000001</c:v>
                </c:pt>
                <c:pt idx="156">
                  <c:v>1.1719999999999999</c:v>
                </c:pt>
                <c:pt idx="157">
                  <c:v>1.1890000000000001</c:v>
                </c:pt>
                <c:pt idx="158">
                  <c:v>1.179</c:v>
                </c:pt>
                <c:pt idx="159">
                  <c:v>1.163</c:v>
                </c:pt>
                <c:pt idx="160">
                  <c:v>1.198</c:v>
                </c:pt>
                <c:pt idx="161">
                  <c:v>1.224</c:v>
                </c:pt>
                <c:pt idx="162">
                  <c:v>1.2110000000000001</c:v>
                </c:pt>
                <c:pt idx="163">
                  <c:v>1.196</c:v>
                </c:pt>
                <c:pt idx="164">
                  <c:v>1.1859999999999999</c:v>
                </c:pt>
                <c:pt idx="165">
                  <c:v>1.157</c:v>
                </c:pt>
                <c:pt idx="166">
                  <c:v>1.0640000000000001</c:v>
                </c:pt>
                <c:pt idx="167">
                  <c:v>1.014</c:v>
                </c:pt>
                <c:pt idx="168">
                  <c:v>0.98599999999999999</c:v>
                </c:pt>
                <c:pt idx="169">
                  <c:v>1.0069999999999999</c:v>
                </c:pt>
                <c:pt idx="170">
                  <c:v>1.0129999999999999</c:v>
                </c:pt>
                <c:pt idx="171">
                  <c:v>1</c:v>
                </c:pt>
                <c:pt idx="172">
                  <c:v>1</c:v>
                </c:pt>
                <c:pt idx="173">
                  <c:v>1.048</c:v>
                </c:pt>
                <c:pt idx="174">
                  <c:v>1.004</c:v>
                </c:pt>
                <c:pt idx="175">
                  <c:v>1.0980000000000001</c:v>
                </c:pt>
                <c:pt idx="176">
                  <c:v>1.0840000000000001</c:v>
                </c:pt>
                <c:pt idx="177">
                  <c:v>1.1160000000000001</c:v>
                </c:pt>
                <c:pt idx="178">
                  <c:v>1.1160000000000001</c:v>
                </c:pt>
                <c:pt idx="179">
                  <c:v>1.1040000000000001</c:v>
                </c:pt>
                <c:pt idx="180">
                  <c:v>1.097</c:v>
                </c:pt>
                <c:pt idx="181">
                  <c:v>1.1499999999999999</c:v>
                </c:pt>
                <c:pt idx="182">
                  <c:v>1.212</c:v>
                </c:pt>
                <c:pt idx="183">
                  <c:v>1.22</c:v>
                </c:pt>
                <c:pt idx="184">
                  <c:v>1.2190000000000001</c:v>
                </c:pt>
                <c:pt idx="185">
                  <c:v>1.236</c:v>
                </c:pt>
                <c:pt idx="186">
                  <c:v>1.1970000000000001</c:v>
                </c:pt>
                <c:pt idx="187">
                  <c:v>1.1970000000000001</c:v>
                </c:pt>
                <c:pt idx="188">
                  <c:v>1.1970000000000001</c:v>
                </c:pt>
                <c:pt idx="189">
                  <c:v>1.2270000000000001</c:v>
                </c:pt>
                <c:pt idx="190">
                  <c:v>1.177</c:v>
                </c:pt>
                <c:pt idx="191">
                  <c:v>1.1559999999999999</c:v>
                </c:pt>
                <c:pt idx="192">
                  <c:v>1.1419999999999999</c:v>
                </c:pt>
                <c:pt idx="193">
                  <c:v>1.157</c:v>
                </c:pt>
                <c:pt idx="194">
                  <c:v>1.1850000000000001</c:v>
                </c:pt>
                <c:pt idx="195">
                  <c:v>1.1499999999999999</c:v>
                </c:pt>
                <c:pt idx="196">
                  <c:v>1.1870000000000001</c:v>
                </c:pt>
                <c:pt idx="197">
                  <c:v>1.2190000000000001</c:v>
                </c:pt>
                <c:pt idx="198">
                  <c:v>1.2190000000000001</c:v>
                </c:pt>
                <c:pt idx="199">
                  <c:v>1.1579999999999999</c:v>
                </c:pt>
                <c:pt idx="200">
                  <c:v>1.137</c:v>
                </c:pt>
                <c:pt idx="201">
                  <c:v>1.125</c:v>
                </c:pt>
                <c:pt idx="202">
                  <c:v>1.135</c:v>
                </c:pt>
                <c:pt idx="203">
                  <c:v>1.101</c:v>
                </c:pt>
                <c:pt idx="204">
                  <c:v>1.105</c:v>
                </c:pt>
                <c:pt idx="205">
                  <c:v>1.0680000000000001</c:v>
                </c:pt>
                <c:pt idx="206">
                  <c:v>1.0740000000000001</c:v>
                </c:pt>
                <c:pt idx="207">
                  <c:v>1.034</c:v>
                </c:pt>
                <c:pt idx="208">
                  <c:v>1.0549999999999999</c:v>
                </c:pt>
                <c:pt idx="209">
                  <c:v>1.083</c:v>
                </c:pt>
                <c:pt idx="210">
                  <c:v>1.0149999999999999</c:v>
                </c:pt>
                <c:pt idx="211">
                  <c:v>0.95299999999999996</c:v>
                </c:pt>
                <c:pt idx="212">
                  <c:v>0.95599999999999996</c:v>
                </c:pt>
                <c:pt idx="213">
                  <c:v>0.95599999999999996</c:v>
                </c:pt>
                <c:pt idx="214">
                  <c:v>0.91700000000000004</c:v>
                </c:pt>
                <c:pt idx="215">
                  <c:v>0.89200000000000002</c:v>
                </c:pt>
                <c:pt idx="216">
                  <c:v>0.89700000000000002</c:v>
                </c:pt>
                <c:pt idx="217">
                  <c:v>0.88600000000000001</c:v>
                </c:pt>
                <c:pt idx="218">
                  <c:v>0.86199999999999999</c:v>
                </c:pt>
                <c:pt idx="219">
                  <c:v>0.90200000000000002</c:v>
                </c:pt>
                <c:pt idx="220">
                  <c:v>0.86299999999999999</c:v>
                </c:pt>
                <c:pt idx="221">
                  <c:v>0.82499999999999996</c:v>
                </c:pt>
                <c:pt idx="222">
                  <c:v>0.81299999999999994</c:v>
                </c:pt>
                <c:pt idx="223">
                  <c:v>0.83899999999999997</c:v>
                </c:pt>
                <c:pt idx="224">
                  <c:v>0.85899999999999999</c:v>
                </c:pt>
                <c:pt idx="225">
                  <c:v>0.86699999999999999</c:v>
                </c:pt>
                <c:pt idx="226">
                  <c:v>0.83499999999999996</c:v>
                </c:pt>
                <c:pt idx="227">
                  <c:v>0.84699999999999998</c:v>
                </c:pt>
                <c:pt idx="228">
                  <c:v>0.85</c:v>
                </c:pt>
                <c:pt idx="229">
                  <c:v>0.80700000000000005</c:v>
                </c:pt>
                <c:pt idx="230">
                  <c:v>0.86499999999999999</c:v>
                </c:pt>
                <c:pt idx="231">
                  <c:v>0.80600000000000005</c:v>
                </c:pt>
                <c:pt idx="232">
                  <c:v>0.84499999999999997</c:v>
                </c:pt>
                <c:pt idx="233">
                  <c:v>0.81599999999999995</c:v>
                </c:pt>
                <c:pt idx="234">
                  <c:v>0.79400000000000004</c:v>
                </c:pt>
                <c:pt idx="235">
                  <c:v>0.83099999999999996</c:v>
                </c:pt>
                <c:pt idx="236">
                  <c:v>0.82199999999999995</c:v>
                </c:pt>
                <c:pt idx="237">
                  <c:v>0.83299999999999996</c:v>
                </c:pt>
                <c:pt idx="238">
                  <c:v>0.81399999999999995</c:v>
                </c:pt>
                <c:pt idx="239">
                  <c:v>0.72199999999999998</c:v>
                </c:pt>
                <c:pt idx="240">
                  <c:v>0.69099999999999995</c:v>
                </c:pt>
                <c:pt idx="241">
                  <c:v>0.67600000000000005</c:v>
                </c:pt>
                <c:pt idx="242">
                  <c:v>0.73799999999999999</c:v>
                </c:pt>
                <c:pt idx="243">
                  <c:v>0.71499999999999997</c:v>
                </c:pt>
                <c:pt idx="244">
                  <c:v>0.72</c:v>
                </c:pt>
                <c:pt idx="245">
                  <c:v>0.75800000000000001</c:v>
                </c:pt>
                <c:pt idx="246">
                  <c:v>0.83599999999999997</c:v>
                </c:pt>
                <c:pt idx="247">
                  <c:v>0.83499999999999996</c:v>
                </c:pt>
                <c:pt idx="248">
                  <c:v>0.80100000000000005</c:v>
                </c:pt>
                <c:pt idx="249">
                  <c:v>0.82099999999999995</c:v>
                </c:pt>
                <c:pt idx="250">
                  <c:v>0.75900000000000001</c:v>
                </c:pt>
                <c:pt idx="251">
                  <c:v>0.75900000000000001</c:v>
                </c:pt>
                <c:pt idx="252">
                  <c:v>0.73399999999999999</c:v>
                </c:pt>
                <c:pt idx="253">
                  <c:v>0.70799999999999996</c:v>
                </c:pt>
                <c:pt idx="254">
                  <c:v>0.69099999999999995</c:v>
                </c:pt>
                <c:pt idx="255">
                  <c:v>0.67800000000000005</c:v>
                </c:pt>
                <c:pt idx="256">
                  <c:v>0.71</c:v>
                </c:pt>
                <c:pt idx="257">
                  <c:v>0.68700000000000006</c:v>
                </c:pt>
                <c:pt idx="258">
                  <c:v>0.65400000000000003</c:v>
                </c:pt>
                <c:pt idx="259">
                  <c:v>0.63400000000000001</c:v>
                </c:pt>
                <c:pt idx="260">
                  <c:v>0.61099999999999999</c:v>
                </c:pt>
                <c:pt idx="261">
                  <c:v>0.59399999999999997</c:v>
                </c:pt>
                <c:pt idx="262" formatCode="General">
                  <c:v>0.55000000000000004</c:v>
                </c:pt>
                <c:pt idx="263" formatCode="General">
                  <c:v>0.51200000000000001</c:v>
                </c:pt>
                <c:pt idx="264" formatCode="General">
                  <c:v>0.51500000000000001</c:v>
                </c:pt>
                <c:pt idx="265" formatCode="General">
                  <c:v>0.48699999999999999</c:v>
                </c:pt>
                <c:pt idx="266" formatCode="General">
                  <c:v>0.52200000000000002</c:v>
                </c:pt>
                <c:pt idx="267" formatCode="General">
                  <c:v>0.48399999999999999</c:v>
                </c:pt>
                <c:pt idx="268" formatCode="General">
                  <c:v>0.49</c:v>
                </c:pt>
                <c:pt idx="269" formatCode="General">
                  <c:v>0.49399999999999999</c:v>
                </c:pt>
                <c:pt idx="270" formatCode="General">
                  <c:v>0.44800000000000001</c:v>
                </c:pt>
                <c:pt idx="271" formatCode="General">
                  <c:v>0.40799999999999997</c:v>
                </c:pt>
                <c:pt idx="272" formatCode="General">
                  <c:v>0.46600000000000003</c:v>
                </c:pt>
                <c:pt idx="273" formatCode="General">
                  <c:v>0.47</c:v>
                </c:pt>
                <c:pt idx="274" formatCode="General">
                  <c:v>0.45200000000000001</c:v>
                </c:pt>
                <c:pt idx="275" formatCode="General">
                  <c:v>0.47899999999999998</c:v>
                </c:pt>
                <c:pt idx="276" formatCode="General">
                  <c:v>0.51700000000000002</c:v>
                </c:pt>
                <c:pt idx="277" formatCode="General">
                  <c:v>0.48099999999999998</c:v>
                </c:pt>
                <c:pt idx="278" formatCode="General">
                  <c:v>0.48099999999999998</c:v>
                </c:pt>
                <c:pt idx="279" formatCode="General">
                  <c:v>0.502</c:v>
                </c:pt>
                <c:pt idx="280" formatCode="General">
                  <c:v>0.442</c:v>
                </c:pt>
                <c:pt idx="281" formatCode="General">
                  <c:v>0.436</c:v>
                </c:pt>
                <c:pt idx="282" formatCode="General">
                  <c:v>0.47899999999999998</c:v>
                </c:pt>
                <c:pt idx="283" formatCode="General">
                  <c:v>0.41499999999999998</c:v>
                </c:pt>
                <c:pt idx="284" formatCode="General">
                  <c:v>0.40600000000000003</c:v>
                </c:pt>
                <c:pt idx="285" formatCode="General">
                  <c:v>0.49299999999999999</c:v>
                </c:pt>
                <c:pt idx="286" formatCode="General">
                  <c:v>0.6</c:v>
                </c:pt>
                <c:pt idx="287" formatCode="General">
                  <c:v>0.50600000000000001</c:v>
                </c:pt>
                <c:pt idx="288" formatCode="General">
                  <c:v>0.59099999999999997</c:v>
                </c:pt>
                <c:pt idx="289" formatCode="General">
                  <c:v>0.63900000000000001</c:v>
                </c:pt>
                <c:pt idx="290" formatCode="General">
                  <c:v>0.63700000000000001</c:v>
                </c:pt>
                <c:pt idx="291" formatCode="General">
                  <c:v>0.67400000000000004</c:v>
                </c:pt>
                <c:pt idx="292" formatCode="General">
                  <c:v>0.76200000000000001</c:v>
                </c:pt>
                <c:pt idx="293" formatCode="General">
                  <c:v>0.69399999999999995</c:v>
                </c:pt>
                <c:pt idx="294" formatCode="General">
                  <c:v>0.69699999999999995</c:v>
                </c:pt>
                <c:pt idx="295" formatCode="General">
                  <c:v>0.64300000000000002</c:v>
                </c:pt>
                <c:pt idx="296" formatCode="General">
                  <c:v>0.63700000000000001</c:v>
                </c:pt>
                <c:pt idx="297" formatCode="General">
                  <c:v>0.628</c:v>
                </c:pt>
                <c:pt idx="298" formatCode="General">
                  <c:v>0.55200000000000005</c:v>
                </c:pt>
                <c:pt idx="299" formatCode="General">
                  <c:v>0.52800000000000002</c:v>
                </c:pt>
                <c:pt idx="300" formatCode="General">
                  <c:v>0.53600000000000003</c:v>
                </c:pt>
                <c:pt idx="301" formatCode="General">
                  <c:v>0.51900000000000002</c:v>
                </c:pt>
                <c:pt idx="302" formatCode="General">
                  <c:v>0.499</c:v>
                </c:pt>
                <c:pt idx="303" formatCode="General">
                  <c:v>0.48799999999999999</c:v>
                </c:pt>
              </c:numCache>
            </c:numRef>
          </c:val>
          <c:smooth val="0"/>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Yield'!$A$1979:$A$2282</c:f>
              <c:numCache>
                <c:formatCode>[$-409]mmm\-yy;@</c:formatCode>
                <c:ptCount val="304"/>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pt idx="66">
                  <c:v>43405</c:v>
                </c:pt>
                <c:pt idx="67">
                  <c:v>43406</c:v>
                </c:pt>
                <c:pt idx="68">
                  <c:v>43409</c:v>
                </c:pt>
                <c:pt idx="69">
                  <c:v>43410</c:v>
                </c:pt>
                <c:pt idx="70">
                  <c:v>43411</c:v>
                </c:pt>
                <c:pt idx="71">
                  <c:v>43412</c:v>
                </c:pt>
                <c:pt idx="72">
                  <c:v>43413</c:v>
                </c:pt>
                <c:pt idx="73">
                  <c:v>43416</c:v>
                </c:pt>
                <c:pt idx="74">
                  <c:v>43417</c:v>
                </c:pt>
                <c:pt idx="75">
                  <c:v>43418</c:v>
                </c:pt>
                <c:pt idx="76">
                  <c:v>43419</c:v>
                </c:pt>
                <c:pt idx="77">
                  <c:v>43420</c:v>
                </c:pt>
                <c:pt idx="78">
                  <c:v>43423</c:v>
                </c:pt>
                <c:pt idx="79">
                  <c:v>43424</c:v>
                </c:pt>
                <c:pt idx="80">
                  <c:v>43425</c:v>
                </c:pt>
                <c:pt idx="81">
                  <c:v>43426</c:v>
                </c:pt>
                <c:pt idx="82">
                  <c:v>43427</c:v>
                </c:pt>
                <c:pt idx="83">
                  <c:v>43430</c:v>
                </c:pt>
                <c:pt idx="84">
                  <c:v>43431</c:v>
                </c:pt>
                <c:pt idx="85">
                  <c:v>43432</c:v>
                </c:pt>
                <c:pt idx="86">
                  <c:v>43433</c:v>
                </c:pt>
                <c:pt idx="87">
                  <c:v>43434</c:v>
                </c:pt>
                <c:pt idx="88">
                  <c:v>43437</c:v>
                </c:pt>
                <c:pt idx="89">
                  <c:v>43438</c:v>
                </c:pt>
                <c:pt idx="90">
                  <c:v>43439</c:v>
                </c:pt>
                <c:pt idx="91">
                  <c:v>43440</c:v>
                </c:pt>
                <c:pt idx="92">
                  <c:v>43441</c:v>
                </c:pt>
                <c:pt idx="93">
                  <c:v>43444</c:v>
                </c:pt>
                <c:pt idx="94">
                  <c:v>43445</c:v>
                </c:pt>
                <c:pt idx="95">
                  <c:v>43446</c:v>
                </c:pt>
                <c:pt idx="96">
                  <c:v>43447</c:v>
                </c:pt>
                <c:pt idx="97">
                  <c:v>43448</c:v>
                </c:pt>
                <c:pt idx="98">
                  <c:v>43451</c:v>
                </c:pt>
                <c:pt idx="99">
                  <c:v>43452</c:v>
                </c:pt>
                <c:pt idx="100">
                  <c:v>43453</c:v>
                </c:pt>
                <c:pt idx="101">
                  <c:v>43454</c:v>
                </c:pt>
                <c:pt idx="102">
                  <c:v>43455</c:v>
                </c:pt>
                <c:pt idx="103">
                  <c:v>43458</c:v>
                </c:pt>
                <c:pt idx="104">
                  <c:v>43459</c:v>
                </c:pt>
                <c:pt idx="105">
                  <c:v>43460</c:v>
                </c:pt>
                <c:pt idx="106">
                  <c:v>43461</c:v>
                </c:pt>
                <c:pt idx="107">
                  <c:v>43462</c:v>
                </c:pt>
                <c:pt idx="108">
                  <c:v>43465</c:v>
                </c:pt>
                <c:pt idx="109">
                  <c:v>43466</c:v>
                </c:pt>
                <c:pt idx="110">
                  <c:v>43467</c:v>
                </c:pt>
                <c:pt idx="111">
                  <c:v>43468</c:v>
                </c:pt>
                <c:pt idx="112">
                  <c:v>43469</c:v>
                </c:pt>
                <c:pt idx="113">
                  <c:v>43472</c:v>
                </c:pt>
                <c:pt idx="114">
                  <c:v>43473</c:v>
                </c:pt>
                <c:pt idx="115">
                  <c:v>43474</c:v>
                </c:pt>
                <c:pt idx="116">
                  <c:v>43475</c:v>
                </c:pt>
                <c:pt idx="117">
                  <c:v>43476</c:v>
                </c:pt>
                <c:pt idx="118">
                  <c:v>43479</c:v>
                </c:pt>
                <c:pt idx="119">
                  <c:v>43480</c:v>
                </c:pt>
                <c:pt idx="120">
                  <c:v>43481</c:v>
                </c:pt>
                <c:pt idx="121">
                  <c:v>43482</c:v>
                </c:pt>
                <c:pt idx="122">
                  <c:v>43483</c:v>
                </c:pt>
                <c:pt idx="123">
                  <c:v>43486</c:v>
                </c:pt>
                <c:pt idx="124">
                  <c:v>43487</c:v>
                </c:pt>
                <c:pt idx="125">
                  <c:v>43488</c:v>
                </c:pt>
                <c:pt idx="126">
                  <c:v>43489</c:v>
                </c:pt>
                <c:pt idx="127">
                  <c:v>43490</c:v>
                </c:pt>
                <c:pt idx="128">
                  <c:v>43493</c:v>
                </c:pt>
                <c:pt idx="129">
                  <c:v>43494</c:v>
                </c:pt>
                <c:pt idx="130">
                  <c:v>43495</c:v>
                </c:pt>
                <c:pt idx="131">
                  <c:v>43496</c:v>
                </c:pt>
                <c:pt idx="132">
                  <c:v>43497</c:v>
                </c:pt>
                <c:pt idx="133">
                  <c:v>43500</c:v>
                </c:pt>
                <c:pt idx="134">
                  <c:v>43501</c:v>
                </c:pt>
                <c:pt idx="135">
                  <c:v>43502</c:v>
                </c:pt>
                <c:pt idx="136">
                  <c:v>43503</c:v>
                </c:pt>
                <c:pt idx="137">
                  <c:v>43504</c:v>
                </c:pt>
                <c:pt idx="138">
                  <c:v>43507</c:v>
                </c:pt>
                <c:pt idx="139">
                  <c:v>43508</c:v>
                </c:pt>
                <c:pt idx="140">
                  <c:v>43509</c:v>
                </c:pt>
                <c:pt idx="141">
                  <c:v>43510</c:v>
                </c:pt>
                <c:pt idx="142">
                  <c:v>43511</c:v>
                </c:pt>
                <c:pt idx="143">
                  <c:v>43514</c:v>
                </c:pt>
                <c:pt idx="144">
                  <c:v>43515</c:v>
                </c:pt>
                <c:pt idx="145">
                  <c:v>43516</c:v>
                </c:pt>
                <c:pt idx="146">
                  <c:v>43517</c:v>
                </c:pt>
                <c:pt idx="147">
                  <c:v>43518</c:v>
                </c:pt>
                <c:pt idx="148">
                  <c:v>43521</c:v>
                </c:pt>
                <c:pt idx="149">
                  <c:v>43522</c:v>
                </c:pt>
                <c:pt idx="150">
                  <c:v>43523</c:v>
                </c:pt>
                <c:pt idx="151">
                  <c:v>43524</c:v>
                </c:pt>
                <c:pt idx="152">
                  <c:v>43525</c:v>
                </c:pt>
                <c:pt idx="153">
                  <c:v>43528</c:v>
                </c:pt>
                <c:pt idx="154">
                  <c:v>43529</c:v>
                </c:pt>
                <c:pt idx="155">
                  <c:v>43530</c:v>
                </c:pt>
                <c:pt idx="156">
                  <c:v>43531</c:v>
                </c:pt>
                <c:pt idx="157">
                  <c:v>43532</c:v>
                </c:pt>
                <c:pt idx="158">
                  <c:v>43535</c:v>
                </c:pt>
                <c:pt idx="159">
                  <c:v>43536</c:v>
                </c:pt>
                <c:pt idx="160">
                  <c:v>43537</c:v>
                </c:pt>
                <c:pt idx="161">
                  <c:v>43538</c:v>
                </c:pt>
                <c:pt idx="162">
                  <c:v>43539</c:v>
                </c:pt>
                <c:pt idx="163">
                  <c:v>43542</c:v>
                </c:pt>
                <c:pt idx="164">
                  <c:v>43543</c:v>
                </c:pt>
                <c:pt idx="165">
                  <c:v>43544</c:v>
                </c:pt>
                <c:pt idx="166">
                  <c:v>43545</c:v>
                </c:pt>
                <c:pt idx="167">
                  <c:v>43546</c:v>
                </c:pt>
                <c:pt idx="168">
                  <c:v>43549</c:v>
                </c:pt>
                <c:pt idx="169">
                  <c:v>43550</c:v>
                </c:pt>
                <c:pt idx="170">
                  <c:v>43551</c:v>
                </c:pt>
                <c:pt idx="171">
                  <c:v>43552</c:v>
                </c:pt>
                <c:pt idx="172">
                  <c:v>43553</c:v>
                </c:pt>
                <c:pt idx="173">
                  <c:v>43556</c:v>
                </c:pt>
                <c:pt idx="174">
                  <c:v>43557</c:v>
                </c:pt>
                <c:pt idx="175">
                  <c:v>43558</c:v>
                </c:pt>
                <c:pt idx="176">
                  <c:v>43559</c:v>
                </c:pt>
                <c:pt idx="177">
                  <c:v>43560</c:v>
                </c:pt>
                <c:pt idx="178">
                  <c:v>43563</c:v>
                </c:pt>
                <c:pt idx="179">
                  <c:v>43564</c:v>
                </c:pt>
                <c:pt idx="180">
                  <c:v>43565</c:v>
                </c:pt>
                <c:pt idx="181">
                  <c:v>43566</c:v>
                </c:pt>
                <c:pt idx="182">
                  <c:v>43567</c:v>
                </c:pt>
                <c:pt idx="183">
                  <c:v>43570</c:v>
                </c:pt>
                <c:pt idx="184">
                  <c:v>43571</c:v>
                </c:pt>
                <c:pt idx="185">
                  <c:v>43572</c:v>
                </c:pt>
                <c:pt idx="186">
                  <c:v>43573</c:v>
                </c:pt>
                <c:pt idx="187">
                  <c:v>43574</c:v>
                </c:pt>
                <c:pt idx="188">
                  <c:v>43577</c:v>
                </c:pt>
                <c:pt idx="189">
                  <c:v>43578</c:v>
                </c:pt>
                <c:pt idx="190">
                  <c:v>43579</c:v>
                </c:pt>
                <c:pt idx="191">
                  <c:v>43580</c:v>
                </c:pt>
                <c:pt idx="192">
                  <c:v>43581</c:v>
                </c:pt>
                <c:pt idx="193">
                  <c:v>43584</c:v>
                </c:pt>
                <c:pt idx="194">
                  <c:v>43585</c:v>
                </c:pt>
                <c:pt idx="195">
                  <c:v>43586</c:v>
                </c:pt>
                <c:pt idx="196">
                  <c:v>43587</c:v>
                </c:pt>
                <c:pt idx="197">
                  <c:v>43588</c:v>
                </c:pt>
                <c:pt idx="198">
                  <c:v>43591</c:v>
                </c:pt>
                <c:pt idx="199">
                  <c:v>43592</c:v>
                </c:pt>
                <c:pt idx="200">
                  <c:v>43593</c:v>
                </c:pt>
                <c:pt idx="201">
                  <c:v>43594</c:v>
                </c:pt>
                <c:pt idx="202">
                  <c:v>43595</c:v>
                </c:pt>
                <c:pt idx="203">
                  <c:v>43598</c:v>
                </c:pt>
                <c:pt idx="204">
                  <c:v>43599</c:v>
                </c:pt>
                <c:pt idx="205">
                  <c:v>43600</c:v>
                </c:pt>
                <c:pt idx="206">
                  <c:v>43601</c:v>
                </c:pt>
                <c:pt idx="207">
                  <c:v>43602</c:v>
                </c:pt>
                <c:pt idx="208">
                  <c:v>43605</c:v>
                </c:pt>
                <c:pt idx="209">
                  <c:v>43606</c:v>
                </c:pt>
                <c:pt idx="210">
                  <c:v>43607</c:v>
                </c:pt>
                <c:pt idx="211">
                  <c:v>43608</c:v>
                </c:pt>
                <c:pt idx="212">
                  <c:v>43609</c:v>
                </c:pt>
                <c:pt idx="213">
                  <c:v>43612</c:v>
                </c:pt>
                <c:pt idx="214">
                  <c:v>43613</c:v>
                </c:pt>
                <c:pt idx="215">
                  <c:v>43614</c:v>
                </c:pt>
                <c:pt idx="216">
                  <c:v>43615</c:v>
                </c:pt>
                <c:pt idx="217">
                  <c:v>43616</c:v>
                </c:pt>
                <c:pt idx="218">
                  <c:v>43619</c:v>
                </c:pt>
                <c:pt idx="219">
                  <c:v>43620</c:v>
                </c:pt>
                <c:pt idx="220">
                  <c:v>43621</c:v>
                </c:pt>
                <c:pt idx="221">
                  <c:v>43622</c:v>
                </c:pt>
                <c:pt idx="222">
                  <c:v>43623</c:v>
                </c:pt>
                <c:pt idx="223">
                  <c:v>43626</c:v>
                </c:pt>
                <c:pt idx="224">
                  <c:v>43627</c:v>
                </c:pt>
                <c:pt idx="225">
                  <c:v>43628</c:v>
                </c:pt>
                <c:pt idx="226">
                  <c:v>43629</c:v>
                </c:pt>
                <c:pt idx="227">
                  <c:v>43630</c:v>
                </c:pt>
                <c:pt idx="228">
                  <c:v>43633</c:v>
                </c:pt>
                <c:pt idx="229">
                  <c:v>43634</c:v>
                </c:pt>
                <c:pt idx="230">
                  <c:v>43635</c:v>
                </c:pt>
                <c:pt idx="231">
                  <c:v>43636</c:v>
                </c:pt>
                <c:pt idx="232">
                  <c:v>43637</c:v>
                </c:pt>
                <c:pt idx="233">
                  <c:v>43640</c:v>
                </c:pt>
                <c:pt idx="234">
                  <c:v>43641</c:v>
                </c:pt>
                <c:pt idx="235">
                  <c:v>43642</c:v>
                </c:pt>
                <c:pt idx="236">
                  <c:v>43643</c:v>
                </c:pt>
                <c:pt idx="237">
                  <c:v>43644</c:v>
                </c:pt>
                <c:pt idx="238">
                  <c:v>43647</c:v>
                </c:pt>
                <c:pt idx="239">
                  <c:v>43648</c:v>
                </c:pt>
                <c:pt idx="240">
                  <c:v>43649</c:v>
                </c:pt>
                <c:pt idx="241">
                  <c:v>43650</c:v>
                </c:pt>
                <c:pt idx="242">
                  <c:v>43651</c:v>
                </c:pt>
                <c:pt idx="243">
                  <c:v>43654</c:v>
                </c:pt>
                <c:pt idx="244">
                  <c:v>43655</c:v>
                </c:pt>
                <c:pt idx="245">
                  <c:v>43656</c:v>
                </c:pt>
                <c:pt idx="246">
                  <c:v>43657</c:v>
                </c:pt>
                <c:pt idx="247">
                  <c:v>43658</c:v>
                </c:pt>
                <c:pt idx="248">
                  <c:v>43661</c:v>
                </c:pt>
                <c:pt idx="249">
                  <c:v>43662</c:v>
                </c:pt>
                <c:pt idx="250">
                  <c:v>43663</c:v>
                </c:pt>
                <c:pt idx="251">
                  <c:v>43664</c:v>
                </c:pt>
                <c:pt idx="252">
                  <c:v>43665</c:v>
                </c:pt>
                <c:pt idx="253">
                  <c:v>43668</c:v>
                </c:pt>
                <c:pt idx="254">
                  <c:v>43669</c:v>
                </c:pt>
                <c:pt idx="255">
                  <c:v>43670</c:v>
                </c:pt>
                <c:pt idx="256">
                  <c:v>43671</c:v>
                </c:pt>
                <c:pt idx="257">
                  <c:v>43672</c:v>
                </c:pt>
                <c:pt idx="258">
                  <c:v>43675</c:v>
                </c:pt>
                <c:pt idx="259">
                  <c:v>43676</c:v>
                </c:pt>
                <c:pt idx="260">
                  <c:v>43677</c:v>
                </c:pt>
                <c:pt idx="261">
                  <c:v>43678</c:v>
                </c:pt>
                <c:pt idx="262">
                  <c:v>43679</c:v>
                </c:pt>
                <c:pt idx="263">
                  <c:v>43682</c:v>
                </c:pt>
                <c:pt idx="264">
                  <c:v>43683</c:v>
                </c:pt>
                <c:pt idx="265">
                  <c:v>43684</c:v>
                </c:pt>
                <c:pt idx="266">
                  <c:v>43685</c:v>
                </c:pt>
                <c:pt idx="267">
                  <c:v>43686</c:v>
                </c:pt>
                <c:pt idx="268">
                  <c:v>43689</c:v>
                </c:pt>
                <c:pt idx="269">
                  <c:v>43690</c:v>
                </c:pt>
                <c:pt idx="270">
                  <c:v>43691</c:v>
                </c:pt>
                <c:pt idx="271">
                  <c:v>43692</c:v>
                </c:pt>
                <c:pt idx="272">
                  <c:v>43693</c:v>
                </c:pt>
                <c:pt idx="273">
                  <c:v>43696</c:v>
                </c:pt>
                <c:pt idx="274">
                  <c:v>43697</c:v>
                </c:pt>
                <c:pt idx="275">
                  <c:v>43698</c:v>
                </c:pt>
                <c:pt idx="276">
                  <c:v>43699</c:v>
                </c:pt>
                <c:pt idx="277">
                  <c:v>43700</c:v>
                </c:pt>
                <c:pt idx="278">
                  <c:v>43703</c:v>
                </c:pt>
                <c:pt idx="279">
                  <c:v>43704</c:v>
                </c:pt>
                <c:pt idx="280">
                  <c:v>43705</c:v>
                </c:pt>
                <c:pt idx="281">
                  <c:v>43706</c:v>
                </c:pt>
                <c:pt idx="282">
                  <c:v>43707</c:v>
                </c:pt>
                <c:pt idx="283">
                  <c:v>43710</c:v>
                </c:pt>
                <c:pt idx="284">
                  <c:v>43711</c:v>
                </c:pt>
                <c:pt idx="285">
                  <c:v>43712</c:v>
                </c:pt>
                <c:pt idx="286">
                  <c:v>43713</c:v>
                </c:pt>
                <c:pt idx="287">
                  <c:v>43714</c:v>
                </c:pt>
                <c:pt idx="288">
                  <c:v>43717</c:v>
                </c:pt>
                <c:pt idx="289">
                  <c:v>43718</c:v>
                </c:pt>
                <c:pt idx="290">
                  <c:v>43719</c:v>
                </c:pt>
                <c:pt idx="291">
                  <c:v>43720</c:v>
                </c:pt>
                <c:pt idx="292">
                  <c:v>43721</c:v>
                </c:pt>
                <c:pt idx="293">
                  <c:v>43724</c:v>
                </c:pt>
                <c:pt idx="294">
                  <c:v>43725</c:v>
                </c:pt>
                <c:pt idx="295">
                  <c:v>43726</c:v>
                </c:pt>
                <c:pt idx="296">
                  <c:v>43727</c:v>
                </c:pt>
                <c:pt idx="297">
                  <c:v>43728</c:v>
                </c:pt>
                <c:pt idx="298">
                  <c:v>43731</c:v>
                </c:pt>
                <c:pt idx="299">
                  <c:v>43732</c:v>
                </c:pt>
                <c:pt idx="300">
                  <c:v>43733</c:v>
                </c:pt>
                <c:pt idx="301">
                  <c:v>43734</c:v>
                </c:pt>
                <c:pt idx="302">
                  <c:v>43735</c:v>
                </c:pt>
                <c:pt idx="303">
                  <c:v>43738</c:v>
                </c:pt>
              </c:numCache>
            </c:numRef>
          </c:cat>
          <c:val>
            <c:numRef>
              <c:f>'10 Year Bond Yield'!$F$1979:$F$2282</c:f>
              <c:numCache>
                <c:formatCode>0.00</c:formatCode>
                <c:ptCount val="304"/>
                <c:pt idx="0">
                  <c:v>0.13100000000000001</c:v>
                </c:pt>
                <c:pt idx="1">
                  <c:v>0.126</c:v>
                </c:pt>
                <c:pt idx="2">
                  <c:v>0.11</c:v>
                </c:pt>
                <c:pt idx="3">
                  <c:v>0.11</c:v>
                </c:pt>
                <c:pt idx="4">
                  <c:v>0.11600000000000001</c:v>
                </c:pt>
                <c:pt idx="5">
                  <c:v>0.113</c:v>
                </c:pt>
                <c:pt idx="6">
                  <c:v>0.115</c:v>
                </c:pt>
                <c:pt idx="7">
                  <c:v>0.10100000000000001</c:v>
                </c:pt>
                <c:pt idx="8">
                  <c:v>0.10100000000000001</c:v>
                </c:pt>
                <c:pt idx="9">
                  <c:v>0.112</c:v>
                </c:pt>
                <c:pt idx="10">
                  <c:v>0.10100000000000001</c:v>
                </c:pt>
                <c:pt idx="11">
                  <c:v>0.10199999999999999</c:v>
                </c:pt>
                <c:pt idx="12">
                  <c:v>9.8000000000000004E-2</c:v>
                </c:pt>
                <c:pt idx="13">
                  <c:v>0.104</c:v>
                </c:pt>
                <c:pt idx="14">
                  <c:v>8.5999999999999993E-2</c:v>
                </c:pt>
                <c:pt idx="15">
                  <c:v>9.9000000000000005E-2</c:v>
                </c:pt>
                <c:pt idx="16">
                  <c:v>0.1</c:v>
                </c:pt>
                <c:pt idx="17">
                  <c:v>0.10100000000000001</c:v>
                </c:pt>
                <c:pt idx="18">
                  <c:v>9.7000000000000003E-2</c:v>
                </c:pt>
                <c:pt idx="19">
                  <c:v>9.8000000000000004E-2</c:v>
                </c:pt>
                <c:pt idx="20">
                  <c:v>0.10299999999999999</c:v>
                </c:pt>
                <c:pt idx="21">
                  <c:v>0.111</c:v>
                </c:pt>
                <c:pt idx="22">
                  <c:v>0.107</c:v>
                </c:pt>
                <c:pt idx="23">
                  <c:v>0.11799999999999999</c:v>
                </c:pt>
                <c:pt idx="24">
                  <c:v>0.123</c:v>
                </c:pt>
                <c:pt idx="25">
                  <c:v>0.115</c:v>
                </c:pt>
                <c:pt idx="26">
                  <c:v>0.111</c:v>
                </c:pt>
                <c:pt idx="27">
                  <c:v>0.113</c:v>
                </c:pt>
                <c:pt idx="28">
                  <c:v>0.11799999999999999</c:v>
                </c:pt>
                <c:pt idx="29">
                  <c:v>0.115</c:v>
                </c:pt>
                <c:pt idx="30">
                  <c:v>0.113</c:v>
                </c:pt>
                <c:pt idx="31">
                  <c:v>0.112</c:v>
                </c:pt>
                <c:pt idx="32">
                  <c:v>0.11799999999999999</c:v>
                </c:pt>
                <c:pt idx="33">
                  <c:v>0.11799999999999999</c:v>
                </c:pt>
                <c:pt idx="34">
                  <c:v>0.11700000000000001</c:v>
                </c:pt>
                <c:pt idx="35">
                  <c:v>0.124</c:v>
                </c:pt>
                <c:pt idx="36">
                  <c:v>0.123</c:v>
                </c:pt>
                <c:pt idx="37">
                  <c:v>0.13300000000000001</c:v>
                </c:pt>
                <c:pt idx="38">
                  <c:v>0.13300000000000001</c:v>
                </c:pt>
                <c:pt idx="39">
                  <c:v>0.13300000000000001</c:v>
                </c:pt>
                <c:pt idx="40">
                  <c:v>0.126</c:v>
                </c:pt>
                <c:pt idx="41">
                  <c:v>0.12</c:v>
                </c:pt>
                <c:pt idx="42">
                  <c:v>0.13</c:v>
                </c:pt>
                <c:pt idx="43">
                  <c:v>0.13600000000000001</c:v>
                </c:pt>
                <c:pt idx="44">
                  <c:v>0.13</c:v>
                </c:pt>
                <c:pt idx="45">
                  <c:v>0.14099999999999999</c:v>
                </c:pt>
                <c:pt idx="46">
                  <c:v>0.159</c:v>
                </c:pt>
                <c:pt idx="47">
                  <c:v>0.155</c:v>
                </c:pt>
                <c:pt idx="48">
                  <c:v>0.155</c:v>
                </c:pt>
                <c:pt idx="49">
                  <c:v>0.161</c:v>
                </c:pt>
                <c:pt idx="50">
                  <c:v>0.156</c:v>
                </c:pt>
                <c:pt idx="51">
                  <c:v>0.14599999999999999</c:v>
                </c:pt>
                <c:pt idx="52">
                  <c:v>0.15</c:v>
                </c:pt>
                <c:pt idx="53">
                  <c:v>0.14399999999999999</c:v>
                </c:pt>
                <c:pt idx="54">
                  <c:v>0.14799999999999999</c:v>
                </c:pt>
                <c:pt idx="55">
                  <c:v>0.14799999999999999</c:v>
                </c:pt>
                <c:pt idx="56">
                  <c:v>0.152</c:v>
                </c:pt>
                <c:pt idx="57">
                  <c:v>0.14899999999999999</c:v>
                </c:pt>
                <c:pt idx="58">
                  <c:v>0.154</c:v>
                </c:pt>
                <c:pt idx="59">
                  <c:v>0.152</c:v>
                </c:pt>
                <c:pt idx="60">
                  <c:v>0.13500000000000001</c:v>
                </c:pt>
                <c:pt idx="61">
                  <c:v>0.11700000000000001</c:v>
                </c:pt>
                <c:pt idx="62">
                  <c:v>0.113</c:v>
                </c:pt>
                <c:pt idx="63">
                  <c:v>0.11</c:v>
                </c:pt>
                <c:pt idx="64">
                  <c:v>0.122</c:v>
                </c:pt>
                <c:pt idx="65">
                  <c:v>0.127</c:v>
                </c:pt>
                <c:pt idx="66">
                  <c:v>0.123</c:v>
                </c:pt>
                <c:pt idx="67">
                  <c:v>0.129</c:v>
                </c:pt>
                <c:pt idx="68">
                  <c:v>0.128</c:v>
                </c:pt>
                <c:pt idx="69">
                  <c:v>0.13100000000000001</c:v>
                </c:pt>
                <c:pt idx="70">
                  <c:v>0.123</c:v>
                </c:pt>
                <c:pt idx="71">
                  <c:v>0.122</c:v>
                </c:pt>
                <c:pt idx="72">
                  <c:v>0.123</c:v>
                </c:pt>
                <c:pt idx="73">
                  <c:v>0.11899999999999999</c:v>
                </c:pt>
                <c:pt idx="74">
                  <c:v>0.114</c:v>
                </c:pt>
                <c:pt idx="75">
                  <c:v>0.111</c:v>
                </c:pt>
                <c:pt idx="76">
                  <c:v>0.109</c:v>
                </c:pt>
                <c:pt idx="77">
                  <c:v>0.104</c:v>
                </c:pt>
                <c:pt idx="78">
                  <c:v>9.7000000000000003E-2</c:v>
                </c:pt>
                <c:pt idx="79">
                  <c:v>0.10199999999999999</c:v>
                </c:pt>
                <c:pt idx="80">
                  <c:v>9.5000000000000001E-2</c:v>
                </c:pt>
                <c:pt idx="81">
                  <c:v>0.1</c:v>
                </c:pt>
                <c:pt idx="82">
                  <c:v>0.1</c:v>
                </c:pt>
                <c:pt idx="83">
                  <c:v>0.09</c:v>
                </c:pt>
                <c:pt idx="84">
                  <c:v>9.1999999999999998E-2</c:v>
                </c:pt>
                <c:pt idx="85">
                  <c:v>0.1</c:v>
                </c:pt>
                <c:pt idx="86">
                  <c:v>8.2000000000000003E-2</c:v>
                </c:pt>
                <c:pt idx="87">
                  <c:v>9.1999999999999998E-2</c:v>
                </c:pt>
                <c:pt idx="88">
                  <c:v>8.5999999999999993E-2</c:v>
                </c:pt>
                <c:pt idx="89">
                  <c:v>7.3999999999999996E-2</c:v>
                </c:pt>
                <c:pt idx="90">
                  <c:v>6.6000000000000003E-2</c:v>
                </c:pt>
                <c:pt idx="91">
                  <c:v>6.4000000000000001E-2</c:v>
                </c:pt>
                <c:pt idx="92">
                  <c:v>5.8999999999999997E-2</c:v>
                </c:pt>
                <c:pt idx="93">
                  <c:v>4.2999999999999997E-2</c:v>
                </c:pt>
                <c:pt idx="94">
                  <c:v>0.05</c:v>
                </c:pt>
                <c:pt idx="95">
                  <c:v>5.5E-2</c:v>
                </c:pt>
                <c:pt idx="96">
                  <c:v>5.7000000000000002E-2</c:v>
                </c:pt>
                <c:pt idx="97">
                  <c:v>3.5000000000000003E-2</c:v>
                </c:pt>
                <c:pt idx="98">
                  <c:v>4.1000000000000002E-2</c:v>
                </c:pt>
                <c:pt idx="99">
                  <c:v>2.5999999999999999E-2</c:v>
                </c:pt>
                <c:pt idx="100">
                  <c:v>3.5000000000000003E-2</c:v>
                </c:pt>
                <c:pt idx="101">
                  <c:v>2.7E-2</c:v>
                </c:pt>
                <c:pt idx="102">
                  <c:v>4.7E-2</c:v>
                </c:pt>
                <c:pt idx="103">
                  <c:v>4.7E-2</c:v>
                </c:pt>
                <c:pt idx="104">
                  <c:v>1.9E-2</c:v>
                </c:pt>
                <c:pt idx="105">
                  <c:v>2.1999999999999999E-2</c:v>
                </c:pt>
                <c:pt idx="106">
                  <c:v>2.5999999999999999E-2</c:v>
                </c:pt>
                <c:pt idx="107">
                  <c:v>3.0000000000000001E-3</c:v>
                </c:pt>
                <c:pt idx="108">
                  <c:v>3.0000000000000001E-3</c:v>
                </c:pt>
                <c:pt idx="109">
                  <c:v>3.0000000000000001E-3</c:v>
                </c:pt>
                <c:pt idx="110">
                  <c:v>3.0000000000000001E-3</c:v>
                </c:pt>
                <c:pt idx="111">
                  <c:v>3.0000000000000001E-3</c:v>
                </c:pt>
                <c:pt idx="112">
                  <c:v>-3.7999999999999999E-2</c:v>
                </c:pt>
                <c:pt idx="113">
                  <c:v>-0.01</c:v>
                </c:pt>
                <c:pt idx="114">
                  <c:v>1.2E-2</c:v>
                </c:pt>
                <c:pt idx="115">
                  <c:v>3.2000000000000001E-2</c:v>
                </c:pt>
                <c:pt idx="116">
                  <c:v>2.4E-2</c:v>
                </c:pt>
                <c:pt idx="117">
                  <c:v>1.7000000000000001E-2</c:v>
                </c:pt>
                <c:pt idx="118">
                  <c:v>1.7000000000000001E-2</c:v>
                </c:pt>
                <c:pt idx="119">
                  <c:v>1.2999999999999999E-2</c:v>
                </c:pt>
                <c:pt idx="120">
                  <c:v>0.01</c:v>
                </c:pt>
                <c:pt idx="121">
                  <c:v>6.0000000000000001E-3</c:v>
                </c:pt>
                <c:pt idx="122">
                  <c:v>1.6E-2</c:v>
                </c:pt>
                <c:pt idx="123">
                  <c:v>8.0000000000000002E-3</c:v>
                </c:pt>
                <c:pt idx="124">
                  <c:v>3.0000000000000001E-3</c:v>
                </c:pt>
                <c:pt idx="125">
                  <c:v>5.0000000000000001E-3</c:v>
                </c:pt>
                <c:pt idx="126">
                  <c:v>1.0999999999999999E-2</c:v>
                </c:pt>
                <c:pt idx="127">
                  <c:v>-3.0000000000000001E-3</c:v>
                </c:pt>
                <c:pt idx="128">
                  <c:v>2E-3</c:v>
                </c:pt>
                <c:pt idx="129">
                  <c:v>8.9999999999999993E-3</c:v>
                </c:pt>
                <c:pt idx="130">
                  <c:v>5.0000000000000001E-3</c:v>
                </c:pt>
                <c:pt idx="131">
                  <c:v>5.0000000000000001E-3</c:v>
                </c:pt>
                <c:pt idx="132">
                  <c:v>-1.2E-2</c:v>
                </c:pt>
                <c:pt idx="133">
                  <c:v>-8.9999999999999993E-3</c:v>
                </c:pt>
                <c:pt idx="134">
                  <c:v>-8.9999999999999993E-3</c:v>
                </c:pt>
                <c:pt idx="135">
                  <c:v>-1.2999999999999999E-2</c:v>
                </c:pt>
                <c:pt idx="136">
                  <c:v>-8.0000000000000002E-3</c:v>
                </c:pt>
                <c:pt idx="137">
                  <c:v>-2.9000000000000001E-2</c:v>
                </c:pt>
                <c:pt idx="138">
                  <c:v>-2.9000000000000001E-2</c:v>
                </c:pt>
                <c:pt idx="139">
                  <c:v>-1.2999999999999999E-2</c:v>
                </c:pt>
                <c:pt idx="140">
                  <c:v>-6.0000000000000001E-3</c:v>
                </c:pt>
                <c:pt idx="141">
                  <c:v>-1.4E-2</c:v>
                </c:pt>
                <c:pt idx="142">
                  <c:v>-2.1000000000000001E-2</c:v>
                </c:pt>
                <c:pt idx="143">
                  <c:v>-2.1999999999999999E-2</c:v>
                </c:pt>
                <c:pt idx="144">
                  <c:v>-2.8000000000000001E-2</c:v>
                </c:pt>
                <c:pt idx="145">
                  <c:v>-3.3000000000000002E-2</c:v>
                </c:pt>
                <c:pt idx="146">
                  <c:v>-3.7999999999999999E-2</c:v>
                </c:pt>
                <c:pt idx="147">
                  <c:v>-3.6999999999999998E-2</c:v>
                </c:pt>
                <c:pt idx="148">
                  <c:v>-3.5000000000000003E-2</c:v>
                </c:pt>
                <c:pt idx="149">
                  <c:v>-2.5999999999999999E-2</c:v>
                </c:pt>
                <c:pt idx="150">
                  <c:v>-2.5000000000000001E-2</c:v>
                </c:pt>
                <c:pt idx="151">
                  <c:v>-2.1999999999999999E-2</c:v>
                </c:pt>
                <c:pt idx="152">
                  <c:v>-7.0000000000000001E-3</c:v>
                </c:pt>
                <c:pt idx="153">
                  <c:v>4.0000000000000001E-3</c:v>
                </c:pt>
                <c:pt idx="154">
                  <c:v>0.01</c:v>
                </c:pt>
                <c:pt idx="155">
                  <c:v>-4.0000000000000001E-3</c:v>
                </c:pt>
                <c:pt idx="156">
                  <c:v>-7.0000000000000001E-3</c:v>
                </c:pt>
                <c:pt idx="157">
                  <c:v>-3.3000000000000002E-2</c:v>
                </c:pt>
                <c:pt idx="158">
                  <c:v>-3.3000000000000002E-2</c:v>
                </c:pt>
                <c:pt idx="159">
                  <c:v>-2.8000000000000001E-2</c:v>
                </c:pt>
                <c:pt idx="160">
                  <c:v>-4.2000000000000003E-2</c:v>
                </c:pt>
                <c:pt idx="161">
                  <c:v>-4.1000000000000002E-2</c:v>
                </c:pt>
                <c:pt idx="162">
                  <c:v>-3.4000000000000002E-2</c:v>
                </c:pt>
                <c:pt idx="163">
                  <c:v>-3.5000000000000003E-2</c:v>
                </c:pt>
                <c:pt idx="164">
                  <c:v>-0.04</c:v>
                </c:pt>
                <c:pt idx="165">
                  <c:v>-3.5999999999999997E-2</c:v>
                </c:pt>
                <c:pt idx="166">
                  <c:v>-3.5999999999999997E-2</c:v>
                </c:pt>
                <c:pt idx="167">
                  <c:v>-6.9000000000000006E-2</c:v>
                </c:pt>
                <c:pt idx="168">
                  <c:v>-8.4000000000000005E-2</c:v>
                </c:pt>
                <c:pt idx="169">
                  <c:v>-6.5000000000000002E-2</c:v>
                </c:pt>
                <c:pt idx="170">
                  <c:v>-6.7000000000000004E-2</c:v>
                </c:pt>
                <c:pt idx="171">
                  <c:v>-0.09</c:v>
                </c:pt>
                <c:pt idx="172">
                  <c:v>-8.1000000000000003E-2</c:v>
                </c:pt>
                <c:pt idx="173">
                  <c:v>-7.2999999999999995E-2</c:v>
                </c:pt>
                <c:pt idx="174">
                  <c:v>-6.2E-2</c:v>
                </c:pt>
                <c:pt idx="175">
                  <c:v>-4.4999999999999998E-2</c:v>
                </c:pt>
                <c:pt idx="176">
                  <c:v>-4.3999999999999997E-2</c:v>
                </c:pt>
                <c:pt idx="177">
                  <c:v>-2.9000000000000001E-2</c:v>
                </c:pt>
                <c:pt idx="178">
                  <c:v>-4.4999999999999998E-2</c:v>
                </c:pt>
                <c:pt idx="179">
                  <c:v>-4.8000000000000001E-2</c:v>
                </c:pt>
                <c:pt idx="180">
                  <c:v>-5.2999999999999999E-2</c:v>
                </c:pt>
                <c:pt idx="181">
                  <c:v>-5.5E-2</c:v>
                </c:pt>
                <c:pt idx="182">
                  <c:v>-5.6000000000000001E-2</c:v>
                </c:pt>
                <c:pt idx="183">
                  <c:v>-2.5000000000000001E-2</c:v>
                </c:pt>
                <c:pt idx="184">
                  <c:v>-2.1999999999999999E-2</c:v>
                </c:pt>
                <c:pt idx="185">
                  <c:v>-6.0000000000000001E-3</c:v>
                </c:pt>
                <c:pt idx="186">
                  <c:v>-2.7E-2</c:v>
                </c:pt>
                <c:pt idx="187">
                  <c:v>-0.03</c:v>
                </c:pt>
                <c:pt idx="188">
                  <c:v>-3.1E-2</c:v>
                </c:pt>
                <c:pt idx="189">
                  <c:v>-2.8000000000000001E-2</c:v>
                </c:pt>
                <c:pt idx="190">
                  <c:v>-3.6999999999999998E-2</c:v>
                </c:pt>
                <c:pt idx="191">
                  <c:v>-3.1E-2</c:v>
                </c:pt>
                <c:pt idx="192">
                  <c:v>-0.04</c:v>
                </c:pt>
                <c:pt idx="193">
                  <c:v>-0.04</c:v>
                </c:pt>
                <c:pt idx="194">
                  <c:v>-0.04</c:v>
                </c:pt>
                <c:pt idx="195">
                  <c:v>-0.04</c:v>
                </c:pt>
                <c:pt idx="196">
                  <c:v>-0.04</c:v>
                </c:pt>
                <c:pt idx="197">
                  <c:v>-0.04</c:v>
                </c:pt>
                <c:pt idx="198">
                  <c:v>-0.04</c:v>
                </c:pt>
                <c:pt idx="199">
                  <c:v>-5.1999999999999998E-2</c:v>
                </c:pt>
                <c:pt idx="200">
                  <c:v>-4.9000000000000002E-2</c:v>
                </c:pt>
                <c:pt idx="201">
                  <c:v>-4.8000000000000001E-2</c:v>
                </c:pt>
                <c:pt idx="202">
                  <c:v>-4.9000000000000002E-2</c:v>
                </c:pt>
                <c:pt idx="203">
                  <c:v>-4.8000000000000001E-2</c:v>
                </c:pt>
                <c:pt idx="204">
                  <c:v>-0.05</c:v>
                </c:pt>
                <c:pt idx="205">
                  <c:v>-5.0999999999999997E-2</c:v>
                </c:pt>
                <c:pt idx="206">
                  <c:v>-6.0999999999999999E-2</c:v>
                </c:pt>
                <c:pt idx="207">
                  <c:v>-5.1999999999999998E-2</c:v>
                </c:pt>
                <c:pt idx="208">
                  <c:v>-4.2999999999999997E-2</c:v>
                </c:pt>
                <c:pt idx="209">
                  <c:v>-4.4999999999999998E-2</c:v>
                </c:pt>
                <c:pt idx="210">
                  <c:v>-5.6000000000000001E-2</c:v>
                </c:pt>
                <c:pt idx="211">
                  <c:v>-5.8999999999999997E-2</c:v>
                </c:pt>
                <c:pt idx="212">
                  <c:v>-7.0000000000000007E-2</c:v>
                </c:pt>
                <c:pt idx="213">
                  <c:v>-6.9000000000000006E-2</c:v>
                </c:pt>
                <c:pt idx="214">
                  <c:v>-7.1999999999999995E-2</c:v>
                </c:pt>
                <c:pt idx="215">
                  <c:v>-0.09</c:v>
                </c:pt>
                <c:pt idx="216">
                  <c:v>-7.9000000000000001E-2</c:v>
                </c:pt>
                <c:pt idx="217">
                  <c:v>-9.4E-2</c:v>
                </c:pt>
                <c:pt idx="218">
                  <c:v>-9.2999999999999999E-2</c:v>
                </c:pt>
                <c:pt idx="219">
                  <c:v>-0.10199999999999999</c:v>
                </c:pt>
                <c:pt idx="220">
                  <c:v>-0.123</c:v>
                </c:pt>
                <c:pt idx="221">
                  <c:v>-0.12</c:v>
                </c:pt>
                <c:pt idx="222">
                  <c:v>-0.12</c:v>
                </c:pt>
                <c:pt idx="223">
                  <c:v>-0.11899999999999999</c:v>
                </c:pt>
                <c:pt idx="224">
                  <c:v>-0.109</c:v>
                </c:pt>
                <c:pt idx="225">
                  <c:v>-0.111</c:v>
                </c:pt>
                <c:pt idx="226">
                  <c:v>-0.113</c:v>
                </c:pt>
                <c:pt idx="227">
                  <c:v>-0.129</c:v>
                </c:pt>
                <c:pt idx="228">
                  <c:v>-0.123</c:v>
                </c:pt>
                <c:pt idx="229">
                  <c:v>-0.124</c:v>
                </c:pt>
                <c:pt idx="230">
                  <c:v>-0.13700000000000001</c:v>
                </c:pt>
                <c:pt idx="231">
                  <c:v>-0.16500000000000001</c:v>
                </c:pt>
                <c:pt idx="232">
                  <c:v>-0.156</c:v>
                </c:pt>
                <c:pt idx="233">
                  <c:v>-0.154</c:v>
                </c:pt>
                <c:pt idx="234">
                  <c:v>-0.155</c:v>
                </c:pt>
                <c:pt idx="235">
                  <c:v>-0.13600000000000001</c:v>
                </c:pt>
                <c:pt idx="236">
                  <c:v>-0.14099999999999999</c:v>
                </c:pt>
                <c:pt idx="237">
                  <c:v>-0.158</c:v>
                </c:pt>
                <c:pt idx="238">
                  <c:v>-0.14599999999999999</c:v>
                </c:pt>
                <c:pt idx="239">
                  <c:v>-0.14599999999999999</c:v>
                </c:pt>
                <c:pt idx="240">
                  <c:v>-0.15</c:v>
                </c:pt>
                <c:pt idx="241">
                  <c:v>-0.155</c:v>
                </c:pt>
                <c:pt idx="242">
                  <c:v>-0.155</c:v>
                </c:pt>
                <c:pt idx="243">
                  <c:v>-0.14499999999999999</c:v>
                </c:pt>
                <c:pt idx="244">
                  <c:v>-0.13800000000000001</c:v>
                </c:pt>
                <c:pt idx="245">
                  <c:v>-0.11799999999999999</c:v>
                </c:pt>
                <c:pt idx="246">
                  <c:v>-0.13500000000000001</c:v>
                </c:pt>
                <c:pt idx="247">
                  <c:v>-0.114</c:v>
                </c:pt>
                <c:pt idx="248">
                  <c:v>-0.114</c:v>
                </c:pt>
                <c:pt idx="249">
                  <c:v>-0.11899999999999999</c:v>
                </c:pt>
                <c:pt idx="250">
                  <c:v>-0.121</c:v>
                </c:pt>
                <c:pt idx="251">
                  <c:v>-0.13</c:v>
                </c:pt>
                <c:pt idx="252">
                  <c:v>-0.13200000000000001</c:v>
                </c:pt>
                <c:pt idx="253">
                  <c:v>-0.13600000000000001</c:v>
                </c:pt>
                <c:pt idx="254">
                  <c:v>-0.14199999999999999</c:v>
                </c:pt>
                <c:pt idx="255">
                  <c:v>-0.14699999999999999</c:v>
                </c:pt>
                <c:pt idx="256">
                  <c:v>-0.151</c:v>
                </c:pt>
                <c:pt idx="257">
                  <c:v>-0.14799999999999999</c:v>
                </c:pt>
                <c:pt idx="258">
                  <c:v>-0.14299999999999999</c:v>
                </c:pt>
                <c:pt idx="259">
                  <c:v>-0.15</c:v>
                </c:pt>
                <c:pt idx="260">
                  <c:v>-0.153</c:v>
                </c:pt>
                <c:pt idx="261">
                  <c:v>-0.13</c:v>
                </c:pt>
                <c:pt idx="262" formatCode="General">
                  <c:v>-0.16300000000000001</c:v>
                </c:pt>
                <c:pt idx="263" formatCode="General">
                  <c:v>-0.191</c:v>
                </c:pt>
                <c:pt idx="264" formatCode="General">
                  <c:v>-0.182</c:v>
                </c:pt>
                <c:pt idx="265" formatCode="General">
                  <c:v>-0.191</c:v>
                </c:pt>
                <c:pt idx="266" formatCode="General">
                  <c:v>-0.19400000000000001</c:v>
                </c:pt>
                <c:pt idx="267" formatCode="General">
                  <c:v>-0.217</c:v>
                </c:pt>
                <c:pt idx="268" formatCode="General">
                  <c:v>-0.217</c:v>
                </c:pt>
                <c:pt idx="269" formatCode="General">
                  <c:v>-0.23300000000000001</c:v>
                </c:pt>
                <c:pt idx="270" formatCode="General">
                  <c:v>-0.219</c:v>
                </c:pt>
                <c:pt idx="271" formatCode="General">
                  <c:v>-0.23300000000000001</c:v>
                </c:pt>
                <c:pt idx="272" formatCode="General">
                  <c:v>-0.22800000000000001</c:v>
                </c:pt>
                <c:pt idx="273" formatCode="General">
                  <c:v>-0.223</c:v>
                </c:pt>
                <c:pt idx="274" formatCode="General">
                  <c:v>-0.23300000000000001</c:v>
                </c:pt>
                <c:pt idx="275" formatCode="General">
                  <c:v>-0.23599999999999999</c:v>
                </c:pt>
                <c:pt idx="276" formatCode="General">
                  <c:v>-0.23599999999999999</c:v>
                </c:pt>
                <c:pt idx="277" formatCode="General">
                  <c:v>-0.23100000000000001</c:v>
                </c:pt>
                <c:pt idx="278" formatCode="General">
                  <c:v>-0.26400000000000001</c:v>
                </c:pt>
                <c:pt idx="279" formatCode="General">
                  <c:v>-0.26400000000000001</c:v>
                </c:pt>
                <c:pt idx="280" formatCode="General">
                  <c:v>-0.27500000000000002</c:v>
                </c:pt>
                <c:pt idx="281" formatCode="General">
                  <c:v>-0.28499999999999998</c:v>
                </c:pt>
                <c:pt idx="282" formatCode="General">
                  <c:v>-0.26900000000000002</c:v>
                </c:pt>
                <c:pt idx="283" formatCode="General">
                  <c:v>-0.26600000000000001</c:v>
                </c:pt>
                <c:pt idx="284" formatCode="General">
                  <c:v>-0.28399999999999997</c:v>
                </c:pt>
                <c:pt idx="285" formatCode="General">
                  <c:v>-0.27700000000000002</c:v>
                </c:pt>
                <c:pt idx="286" formatCode="General">
                  <c:v>-0.26</c:v>
                </c:pt>
                <c:pt idx="287" formatCode="General">
                  <c:v>-0.23699999999999999</c:v>
                </c:pt>
                <c:pt idx="288" formatCode="General">
                  <c:v>-0.251</c:v>
                </c:pt>
                <c:pt idx="289" formatCode="General">
                  <c:v>-0.221</c:v>
                </c:pt>
                <c:pt idx="290" formatCode="General">
                  <c:v>-0.19900000000000001</c:v>
                </c:pt>
                <c:pt idx="291" formatCode="General">
                  <c:v>-0.21199999999999999</c:v>
                </c:pt>
                <c:pt idx="292" formatCode="General">
                  <c:v>-0.153</c:v>
                </c:pt>
                <c:pt idx="293" formatCode="General">
                  <c:v>-0.153</c:v>
                </c:pt>
                <c:pt idx="294" formatCode="General">
                  <c:v>-0.152</c:v>
                </c:pt>
                <c:pt idx="295" formatCode="General">
                  <c:v>-0.182</c:v>
                </c:pt>
                <c:pt idx="296" formatCode="General">
                  <c:v>-0.21199999999999999</c:v>
                </c:pt>
                <c:pt idx="297" formatCode="General">
                  <c:v>-0.20699999999999999</c:v>
                </c:pt>
                <c:pt idx="298" formatCode="General">
                  <c:v>-0.20699999999999999</c:v>
                </c:pt>
                <c:pt idx="299" formatCode="General">
                  <c:v>-0.23400000000000001</c:v>
                </c:pt>
                <c:pt idx="300" formatCode="General">
                  <c:v>-0.255</c:v>
                </c:pt>
                <c:pt idx="301" formatCode="General">
                  <c:v>-0.246</c:v>
                </c:pt>
                <c:pt idx="302" formatCode="General">
                  <c:v>-0.23499999999999999</c:v>
                </c:pt>
                <c:pt idx="303" formatCode="General">
                  <c:v>-0.21299999999999999</c:v>
                </c:pt>
              </c:numCache>
            </c:numRef>
          </c:val>
          <c:smooth val="0"/>
        </c:ser>
        <c:dLbls>
          <c:showLegendKey val="0"/>
          <c:showVal val="0"/>
          <c:showCatName val="0"/>
          <c:showSerName val="0"/>
          <c:showPercent val="0"/>
          <c:showBubbleSize val="0"/>
        </c:dLbls>
        <c:smooth val="0"/>
        <c:axId val="472659640"/>
        <c:axId val="472652192"/>
      </c:lineChart>
      <c:dateAx>
        <c:axId val="472659640"/>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2652192"/>
        <c:crosses val="autoZero"/>
        <c:auto val="1"/>
        <c:lblOffset val="100"/>
        <c:baseTimeUnit val="days"/>
        <c:majorUnit val="1"/>
        <c:majorTimeUnit val="months"/>
      </c:dateAx>
      <c:valAx>
        <c:axId val="4726521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2659640"/>
        <c:crosses val="autoZero"/>
        <c:crossBetween val="between"/>
      </c:valAx>
      <c:spPr>
        <a:noFill/>
        <a:ln>
          <a:noFill/>
        </a:ln>
        <a:effectLst/>
      </c:spPr>
    </c:plotArea>
    <c:legend>
      <c:legendPos val="b"/>
      <c:layout>
        <c:manualLayout>
          <c:xMode val="edge"/>
          <c:yMode val="edge"/>
          <c:x val="0.22570501478910335"/>
          <c:y val="0.95013914055722115"/>
          <c:w val="0.55287796626193597"/>
          <c:h val="4.7071459163838827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Yield'!$G$1</c:f>
              <c:strCache>
                <c:ptCount val="1"/>
                <c:pt idx="0">
                  <c:v>India</c:v>
                </c:pt>
              </c:strCache>
            </c:strRef>
          </c:tx>
          <c:spPr>
            <a:ln w="28575" cap="rnd">
              <a:solidFill>
                <a:schemeClr val="accent1"/>
              </a:solidFill>
              <a:round/>
            </a:ln>
            <a:effectLst/>
          </c:spPr>
          <c:marker>
            <c:symbol val="none"/>
          </c:marker>
          <c:cat>
            <c:numRef>
              <c:f>'10 Year Bond Yield'!$A$1979:$A$2282</c:f>
              <c:numCache>
                <c:formatCode>[$-409]mmm\-yy;@</c:formatCode>
                <c:ptCount val="304"/>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pt idx="66">
                  <c:v>43405</c:v>
                </c:pt>
                <c:pt idx="67">
                  <c:v>43406</c:v>
                </c:pt>
                <c:pt idx="68">
                  <c:v>43409</c:v>
                </c:pt>
                <c:pt idx="69">
                  <c:v>43410</c:v>
                </c:pt>
                <c:pt idx="70">
                  <c:v>43411</c:v>
                </c:pt>
                <c:pt idx="71">
                  <c:v>43412</c:v>
                </c:pt>
                <c:pt idx="72">
                  <c:v>43413</c:v>
                </c:pt>
                <c:pt idx="73">
                  <c:v>43416</c:v>
                </c:pt>
                <c:pt idx="74">
                  <c:v>43417</c:v>
                </c:pt>
                <c:pt idx="75">
                  <c:v>43418</c:v>
                </c:pt>
                <c:pt idx="76">
                  <c:v>43419</c:v>
                </c:pt>
                <c:pt idx="77">
                  <c:v>43420</c:v>
                </c:pt>
                <c:pt idx="78">
                  <c:v>43423</c:v>
                </c:pt>
                <c:pt idx="79">
                  <c:v>43424</c:v>
                </c:pt>
                <c:pt idx="80">
                  <c:v>43425</c:v>
                </c:pt>
                <c:pt idx="81">
                  <c:v>43426</c:v>
                </c:pt>
                <c:pt idx="82">
                  <c:v>43427</c:v>
                </c:pt>
                <c:pt idx="83">
                  <c:v>43430</c:v>
                </c:pt>
                <c:pt idx="84">
                  <c:v>43431</c:v>
                </c:pt>
                <c:pt idx="85">
                  <c:v>43432</c:v>
                </c:pt>
                <c:pt idx="86">
                  <c:v>43433</c:v>
                </c:pt>
                <c:pt idx="87">
                  <c:v>43434</c:v>
                </c:pt>
                <c:pt idx="88">
                  <c:v>43437</c:v>
                </c:pt>
                <c:pt idx="89">
                  <c:v>43438</c:v>
                </c:pt>
                <c:pt idx="90">
                  <c:v>43439</c:v>
                </c:pt>
                <c:pt idx="91">
                  <c:v>43440</c:v>
                </c:pt>
                <c:pt idx="92">
                  <c:v>43441</c:v>
                </c:pt>
                <c:pt idx="93">
                  <c:v>43444</c:v>
                </c:pt>
                <c:pt idx="94">
                  <c:v>43445</c:v>
                </c:pt>
                <c:pt idx="95">
                  <c:v>43446</c:v>
                </c:pt>
                <c:pt idx="96">
                  <c:v>43447</c:v>
                </c:pt>
                <c:pt idx="97">
                  <c:v>43448</c:v>
                </c:pt>
                <c:pt idx="98">
                  <c:v>43451</c:v>
                </c:pt>
                <c:pt idx="99">
                  <c:v>43452</c:v>
                </c:pt>
                <c:pt idx="100">
                  <c:v>43453</c:v>
                </c:pt>
                <c:pt idx="101">
                  <c:v>43454</c:v>
                </c:pt>
                <c:pt idx="102">
                  <c:v>43455</c:v>
                </c:pt>
                <c:pt idx="103">
                  <c:v>43458</c:v>
                </c:pt>
                <c:pt idx="104">
                  <c:v>43459</c:v>
                </c:pt>
                <c:pt idx="105">
                  <c:v>43460</c:v>
                </c:pt>
                <c:pt idx="106">
                  <c:v>43461</c:v>
                </c:pt>
                <c:pt idx="107">
                  <c:v>43462</c:v>
                </c:pt>
                <c:pt idx="108">
                  <c:v>43465</c:v>
                </c:pt>
                <c:pt idx="109">
                  <c:v>43466</c:v>
                </c:pt>
                <c:pt idx="110">
                  <c:v>43467</c:v>
                </c:pt>
                <c:pt idx="111">
                  <c:v>43468</c:v>
                </c:pt>
                <c:pt idx="112">
                  <c:v>43469</c:v>
                </c:pt>
                <c:pt idx="113">
                  <c:v>43472</c:v>
                </c:pt>
                <c:pt idx="114">
                  <c:v>43473</c:v>
                </c:pt>
                <c:pt idx="115">
                  <c:v>43474</c:v>
                </c:pt>
                <c:pt idx="116">
                  <c:v>43475</c:v>
                </c:pt>
                <c:pt idx="117">
                  <c:v>43476</c:v>
                </c:pt>
                <c:pt idx="118">
                  <c:v>43479</c:v>
                </c:pt>
                <c:pt idx="119">
                  <c:v>43480</c:v>
                </c:pt>
                <c:pt idx="120">
                  <c:v>43481</c:v>
                </c:pt>
                <c:pt idx="121">
                  <c:v>43482</c:v>
                </c:pt>
                <c:pt idx="122">
                  <c:v>43483</c:v>
                </c:pt>
                <c:pt idx="123">
                  <c:v>43486</c:v>
                </c:pt>
                <c:pt idx="124">
                  <c:v>43487</c:v>
                </c:pt>
                <c:pt idx="125">
                  <c:v>43488</c:v>
                </c:pt>
                <c:pt idx="126">
                  <c:v>43489</c:v>
                </c:pt>
                <c:pt idx="127">
                  <c:v>43490</c:v>
                </c:pt>
                <c:pt idx="128">
                  <c:v>43493</c:v>
                </c:pt>
                <c:pt idx="129">
                  <c:v>43494</c:v>
                </c:pt>
                <c:pt idx="130">
                  <c:v>43495</c:v>
                </c:pt>
                <c:pt idx="131">
                  <c:v>43496</c:v>
                </c:pt>
                <c:pt idx="132">
                  <c:v>43497</c:v>
                </c:pt>
                <c:pt idx="133">
                  <c:v>43500</c:v>
                </c:pt>
                <c:pt idx="134">
                  <c:v>43501</c:v>
                </c:pt>
                <c:pt idx="135">
                  <c:v>43502</c:v>
                </c:pt>
                <c:pt idx="136">
                  <c:v>43503</c:v>
                </c:pt>
                <c:pt idx="137">
                  <c:v>43504</c:v>
                </c:pt>
                <c:pt idx="138">
                  <c:v>43507</c:v>
                </c:pt>
                <c:pt idx="139">
                  <c:v>43508</c:v>
                </c:pt>
                <c:pt idx="140">
                  <c:v>43509</c:v>
                </c:pt>
                <c:pt idx="141">
                  <c:v>43510</c:v>
                </c:pt>
                <c:pt idx="142">
                  <c:v>43511</c:v>
                </c:pt>
                <c:pt idx="143">
                  <c:v>43514</c:v>
                </c:pt>
                <c:pt idx="144">
                  <c:v>43515</c:v>
                </c:pt>
                <c:pt idx="145">
                  <c:v>43516</c:v>
                </c:pt>
                <c:pt idx="146">
                  <c:v>43517</c:v>
                </c:pt>
                <c:pt idx="147">
                  <c:v>43518</c:v>
                </c:pt>
                <c:pt idx="148">
                  <c:v>43521</c:v>
                </c:pt>
                <c:pt idx="149">
                  <c:v>43522</c:v>
                </c:pt>
                <c:pt idx="150">
                  <c:v>43523</c:v>
                </c:pt>
                <c:pt idx="151">
                  <c:v>43524</c:v>
                </c:pt>
                <c:pt idx="152">
                  <c:v>43525</c:v>
                </c:pt>
                <c:pt idx="153">
                  <c:v>43528</c:v>
                </c:pt>
                <c:pt idx="154">
                  <c:v>43529</c:v>
                </c:pt>
                <c:pt idx="155">
                  <c:v>43530</c:v>
                </c:pt>
                <c:pt idx="156">
                  <c:v>43531</c:v>
                </c:pt>
                <c:pt idx="157">
                  <c:v>43532</c:v>
                </c:pt>
                <c:pt idx="158">
                  <c:v>43535</c:v>
                </c:pt>
                <c:pt idx="159">
                  <c:v>43536</c:v>
                </c:pt>
                <c:pt idx="160">
                  <c:v>43537</c:v>
                </c:pt>
                <c:pt idx="161">
                  <c:v>43538</c:v>
                </c:pt>
                <c:pt idx="162">
                  <c:v>43539</c:v>
                </c:pt>
                <c:pt idx="163">
                  <c:v>43542</c:v>
                </c:pt>
                <c:pt idx="164">
                  <c:v>43543</c:v>
                </c:pt>
                <c:pt idx="165">
                  <c:v>43544</c:v>
                </c:pt>
                <c:pt idx="166">
                  <c:v>43545</c:v>
                </c:pt>
                <c:pt idx="167">
                  <c:v>43546</c:v>
                </c:pt>
                <c:pt idx="168">
                  <c:v>43549</c:v>
                </c:pt>
                <c:pt idx="169">
                  <c:v>43550</c:v>
                </c:pt>
                <c:pt idx="170">
                  <c:v>43551</c:v>
                </c:pt>
                <c:pt idx="171">
                  <c:v>43552</c:v>
                </c:pt>
                <c:pt idx="172">
                  <c:v>43553</c:v>
                </c:pt>
                <c:pt idx="173">
                  <c:v>43556</c:v>
                </c:pt>
                <c:pt idx="174">
                  <c:v>43557</c:v>
                </c:pt>
                <c:pt idx="175">
                  <c:v>43558</c:v>
                </c:pt>
                <c:pt idx="176">
                  <c:v>43559</c:v>
                </c:pt>
                <c:pt idx="177">
                  <c:v>43560</c:v>
                </c:pt>
                <c:pt idx="178">
                  <c:v>43563</c:v>
                </c:pt>
                <c:pt idx="179">
                  <c:v>43564</c:v>
                </c:pt>
                <c:pt idx="180">
                  <c:v>43565</c:v>
                </c:pt>
                <c:pt idx="181">
                  <c:v>43566</c:v>
                </c:pt>
                <c:pt idx="182">
                  <c:v>43567</c:v>
                </c:pt>
                <c:pt idx="183">
                  <c:v>43570</c:v>
                </c:pt>
                <c:pt idx="184">
                  <c:v>43571</c:v>
                </c:pt>
                <c:pt idx="185">
                  <c:v>43572</c:v>
                </c:pt>
                <c:pt idx="186">
                  <c:v>43573</c:v>
                </c:pt>
                <c:pt idx="187">
                  <c:v>43574</c:v>
                </c:pt>
                <c:pt idx="188">
                  <c:v>43577</c:v>
                </c:pt>
                <c:pt idx="189">
                  <c:v>43578</c:v>
                </c:pt>
                <c:pt idx="190">
                  <c:v>43579</c:v>
                </c:pt>
                <c:pt idx="191">
                  <c:v>43580</c:v>
                </c:pt>
                <c:pt idx="192">
                  <c:v>43581</c:v>
                </c:pt>
                <c:pt idx="193">
                  <c:v>43584</c:v>
                </c:pt>
                <c:pt idx="194">
                  <c:v>43585</c:v>
                </c:pt>
                <c:pt idx="195">
                  <c:v>43586</c:v>
                </c:pt>
                <c:pt idx="196">
                  <c:v>43587</c:v>
                </c:pt>
                <c:pt idx="197">
                  <c:v>43588</c:v>
                </c:pt>
                <c:pt idx="198">
                  <c:v>43591</c:v>
                </c:pt>
                <c:pt idx="199">
                  <c:v>43592</c:v>
                </c:pt>
                <c:pt idx="200">
                  <c:v>43593</c:v>
                </c:pt>
                <c:pt idx="201">
                  <c:v>43594</c:v>
                </c:pt>
                <c:pt idx="202">
                  <c:v>43595</c:v>
                </c:pt>
                <c:pt idx="203">
                  <c:v>43598</c:v>
                </c:pt>
                <c:pt idx="204">
                  <c:v>43599</c:v>
                </c:pt>
                <c:pt idx="205">
                  <c:v>43600</c:v>
                </c:pt>
                <c:pt idx="206">
                  <c:v>43601</c:v>
                </c:pt>
                <c:pt idx="207">
                  <c:v>43602</c:v>
                </c:pt>
                <c:pt idx="208">
                  <c:v>43605</c:v>
                </c:pt>
                <c:pt idx="209">
                  <c:v>43606</c:v>
                </c:pt>
                <c:pt idx="210">
                  <c:v>43607</c:v>
                </c:pt>
                <c:pt idx="211">
                  <c:v>43608</c:v>
                </c:pt>
                <c:pt idx="212">
                  <c:v>43609</c:v>
                </c:pt>
                <c:pt idx="213">
                  <c:v>43612</c:v>
                </c:pt>
                <c:pt idx="214">
                  <c:v>43613</c:v>
                </c:pt>
                <c:pt idx="215">
                  <c:v>43614</c:v>
                </c:pt>
                <c:pt idx="216">
                  <c:v>43615</c:v>
                </c:pt>
                <c:pt idx="217">
                  <c:v>43616</c:v>
                </c:pt>
                <c:pt idx="218">
                  <c:v>43619</c:v>
                </c:pt>
                <c:pt idx="219">
                  <c:v>43620</c:v>
                </c:pt>
                <c:pt idx="220">
                  <c:v>43621</c:v>
                </c:pt>
                <c:pt idx="221">
                  <c:v>43622</c:v>
                </c:pt>
                <c:pt idx="222">
                  <c:v>43623</c:v>
                </c:pt>
                <c:pt idx="223">
                  <c:v>43626</c:v>
                </c:pt>
                <c:pt idx="224">
                  <c:v>43627</c:v>
                </c:pt>
                <c:pt idx="225">
                  <c:v>43628</c:v>
                </c:pt>
                <c:pt idx="226">
                  <c:v>43629</c:v>
                </c:pt>
                <c:pt idx="227">
                  <c:v>43630</c:v>
                </c:pt>
                <c:pt idx="228">
                  <c:v>43633</c:v>
                </c:pt>
                <c:pt idx="229">
                  <c:v>43634</c:v>
                </c:pt>
                <c:pt idx="230">
                  <c:v>43635</c:v>
                </c:pt>
                <c:pt idx="231">
                  <c:v>43636</c:v>
                </c:pt>
                <c:pt idx="232">
                  <c:v>43637</c:v>
                </c:pt>
                <c:pt idx="233">
                  <c:v>43640</c:v>
                </c:pt>
                <c:pt idx="234">
                  <c:v>43641</c:v>
                </c:pt>
                <c:pt idx="235">
                  <c:v>43642</c:v>
                </c:pt>
                <c:pt idx="236">
                  <c:v>43643</c:v>
                </c:pt>
                <c:pt idx="237">
                  <c:v>43644</c:v>
                </c:pt>
                <c:pt idx="238">
                  <c:v>43647</c:v>
                </c:pt>
                <c:pt idx="239">
                  <c:v>43648</c:v>
                </c:pt>
                <c:pt idx="240">
                  <c:v>43649</c:v>
                </c:pt>
                <c:pt idx="241">
                  <c:v>43650</c:v>
                </c:pt>
                <c:pt idx="242">
                  <c:v>43651</c:v>
                </c:pt>
                <c:pt idx="243">
                  <c:v>43654</c:v>
                </c:pt>
                <c:pt idx="244">
                  <c:v>43655</c:v>
                </c:pt>
                <c:pt idx="245">
                  <c:v>43656</c:v>
                </c:pt>
                <c:pt idx="246">
                  <c:v>43657</c:v>
                </c:pt>
                <c:pt idx="247">
                  <c:v>43658</c:v>
                </c:pt>
                <c:pt idx="248">
                  <c:v>43661</c:v>
                </c:pt>
                <c:pt idx="249">
                  <c:v>43662</c:v>
                </c:pt>
                <c:pt idx="250">
                  <c:v>43663</c:v>
                </c:pt>
                <c:pt idx="251">
                  <c:v>43664</c:v>
                </c:pt>
                <c:pt idx="252">
                  <c:v>43665</c:v>
                </c:pt>
                <c:pt idx="253">
                  <c:v>43668</c:v>
                </c:pt>
                <c:pt idx="254">
                  <c:v>43669</c:v>
                </c:pt>
                <c:pt idx="255">
                  <c:v>43670</c:v>
                </c:pt>
                <c:pt idx="256">
                  <c:v>43671</c:v>
                </c:pt>
                <c:pt idx="257">
                  <c:v>43672</c:v>
                </c:pt>
                <c:pt idx="258">
                  <c:v>43675</c:v>
                </c:pt>
                <c:pt idx="259">
                  <c:v>43676</c:v>
                </c:pt>
                <c:pt idx="260">
                  <c:v>43677</c:v>
                </c:pt>
                <c:pt idx="261">
                  <c:v>43678</c:v>
                </c:pt>
                <c:pt idx="262">
                  <c:v>43679</c:v>
                </c:pt>
                <c:pt idx="263">
                  <c:v>43682</c:v>
                </c:pt>
                <c:pt idx="264">
                  <c:v>43683</c:v>
                </c:pt>
                <c:pt idx="265">
                  <c:v>43684</c:v>
                </c:pt>
                <c:pt idx="266">
                  <c:v>43685</c:v>
                </c:pt>
                <c:pt idx="267">
                  <c:v>43686</c:v>
                </c:pt>
                <c:pt idx="268">
                  <c:v>43689</c:v>
                </c:pt>
                <c:pt idx="269">
                  <c:v>43690</c:v>
                </c:pt>
                <c:pt idx="270">
                  <c:v>43691</c:v>
                </c:pt>
                <c:pt idx="271">
                  <c:v>43692</c:v>
                </c:pt>
                <c:pt idx="272">
                  <c:v>43693</c:v>
                </c:pt>
                <c:pt idx="273">
                  <c:v>43696</c:v>
                </c:pt>
                <c:pt idx="274">
                  <c:v>43697</c:v>
                </c:pt>
                <c:pt idx="275">
                  <c:v>43698</c:v>
                </c:pt>
                <c:pt idx="276">
                  <c:v>43699</c:v>
                </c:pt>
                <c:pt idx="277">
                  <c:v>43700</c:v>
                </c:pt>
                <c:pt idx="278">
                  <c:v>43703</c:v>
                </c:pt>
                <c:pt idx="279">
                  <c:v>43704</c:v>
                </c:pt>
                <c:pt idx="280">
                  <c:v>43705</c:v>
                </c:pt>
                <c:pt idx="281">
                  <c:v>43706</c:v>
                </c:pt>
                <c:pt idx="282">
                  <c:v>43707</c:v>
                </c:pt>
                <c:pt idx="283">
                  <c:v>43710</c:v>
                </c:pt>
                <c:pt idx="284">
                  <c:v>43711</c:v>
                </c:pt>
                <c:pt idx="285">
                  <c:v>43712</c:v>
                </c:pt>
                <c:pt idx="286">
                  <c:v>43713</c:v>
                </c:pt>
                <c:pt idx="287">
                  <c:v>43714</c:v>
                </c:pt>
                <c:pt idx="288">
                  <c:v>43717</c:v>
                </c:pt>
                <c:pt idx="289">
                  <c:v>43718</c:v>
                </c:pt>
                <c:pt idx="290">
                  <c:v>43719</c:v>
                </c:pt>
                <c:pt idx="291">
                  <c:v>43720</c:v>
                </c:pt>
                <c:pt idx="292">
                  <c:v>43721</c:v>
                </c:pt>
                <c:pt idx="293">
                  <c:v>43724</c:v>
                </c:pt>
                <c:pt idx="294">
                  <c:v>43725</c:v>
                </c:pt>
                <c:pt idx="295">
                  <c:v>43726</c:v>
                </c:pt>
                <c:pt idx="296">
                  <c:v>43727</c:v>
                </c:pt>
                <c:pt idx="297">
                  <c:v>43728</c:v>
                </c:pt>
                <c:pt idx="298">
                  <c:v>43731</c:v>
                </c:pt>
                <c:pt idx="299">
                  <c:v>43732</c:v>
                </c:pt>
                <c:pt idx="300">
                  <c:v>43733</c:v>
                </c:pt>
                <c:pt idx="301">
                  <c:v>43734</c:v>
                </c:pt>
                <c:pt idx="302">
                  <c:v>43735</c:v>
                </c:pt>
                <c:pt idx="303">
                  <c:v>43738</c:v>
                </c:pt>
              </c:numCache>
            </c:numRef>
          </c:cat>
          <c:val>
            <c:numRef>
              <c:f>'10 Year Bond Yield'!$G$1979:$G$2282</c:f>
              <c:numCache>
                <c:formatCode>0.00</c:formatCode>
                <c:ptCount val="304"/>
                <c:pt idx="0">
                  <c:v>7.7009999999999996</c:v>
                </c:pt>
                <c:pt idx="1">
                  <c:v>7.7210000000000001</c:v>
                </c:pt>
                <c:pt idx="2">
                  <c:v>7.7629999999999999</c:v>
                </c:pt>
                <c:pt idx="3">
                  <c:v>7.7679999999999998</c:v>
                </c:pt>
                <c:pt idx="4">
                  <c:v>7.7859999999999996</c:v>
                </c:pt>
                <c:pt idx="5">
                  <c:v>7.7809999999999997</c:v>
                </c:pt>
                <c:pt idx="6">
                  <c:v>7.7450000000000001</c:v>
                </c:pt>
                <c:pt idx="7">
                  <c:v>7.7539999999999996</c:v>
                </c:pt>
                <c:pt idx="8">
                  <c:v>7.8230000000000004</c:v>
                </c:pt>
                <c:pt idx="9">
                  <c:v>7.8179999999999996</c:v>
                </c:pt>
                <c:pt idx="10">
                  <c:v>7.8179999999999996</c:v>
                </c:pt>
                <c:pt idx="11">
                  <c:v>7.8609999999999998</c:v>
                </c:pt>
                <c:pt idx="12">
                  <c:v>7.8609999999999998</c:v>
                </c:pt>
                <c:pt idx="13">
                  <c:v>7.8380000000000001</c:v>
                </c:pt>
                <c:pt idx="14">
                  <c:v>7.8280000000000003</c:v>
                </c:pt>
                <c:pt idx="15">
                  <c:v>7.8280000000000003</c:v>
                </c:pt>
                <c:pt idx="16">
                  <c:v>7.8789999999999996</c:v>
                </c:pt>
                <c:pt idx="17">
                  <c:v>7.8730000000000002</c:v>
                </c:pt>
                <c:pt idx="18">
                  <c:v>7.8940000000000001</c:v>
                </c:pt>
                <c:pt idx="19">
                  <c:v>7.8959999999999999</c:v>
                </c:pt>
                <c:pt idx="20">
                  <c:v>7.9180000000000001</c:v>
                </c:pt>
                <c:pt idx="21">
                  <c:v>7.931</c:v>
                </c:pt>
                <c:pt idx="22">
                  <c:v>7.952</c:v>
                </c:pt>
                <c:pt idx="23">
                  <c:v>7.9989999999999997</c:v>
                </c:pt>
                <c:pt idx="24">
                  <c:v>8.0619999999999994</c:v>
                </c:pt>
                <c:pt idx="25">
                  <c:v>8.0500000000000007</c:v>
                </c:pt>
                <c:pt idx="26">
                  <c:v>8.0559999999999992</c:v>
                </c:pt>
                <c:pt idx="27">
                  <c:v>8.0289999999999999</c:v>
                </c:pt>
                <c:pt idx="28">
                  <c:v>8.1579999999999995</c:v>
                </c:pt>
                <c:pt idx="29">
                  <c:v>8.1809999999999992</c:v>
                </c:pt>
                <c:pt idx="30">
                  <c:v>8.1340000000000003</c:v>
                </c:pt>
                <c:pt idx="31">
                  <c:v>8.1340000000000003</c:v>
                </c:pt>
                <c:pt idx="32">
                  <c:v>8.1270000000000007</c:v>
                </c:pt>
                <c:pt idx="33">
                  <c:v>8.0990000000000002</c:v>
                </c:pt>
                <c:pt idx="34">
                  <c:v>8.1389999999999993</c:v>
                </c:pt>
                <c:pt idx="35">
                  <c:v>8.0719999999999992</c:v>
                </c:pt>
                <c:pt idx="36">
                  <c:v>8.0719999999999992</c:v>
                </c:pt>
                <c:pt idx="37">
                  <c:v>8.0790000000000006</c:v>
                </c:pt>
                <c:pt idx="38">
                  <c:v>8.1219999999999999</c:v>
                </c:pt>
                <c:pt idx="39">
                  <c:v>8.1259999999999994</c:v>
                </c:pt>
                <c:pt idx="40">
                  <c:v>8.0719999999999992</c:v>
                </c:pt>
                <c:pt idx="41">
                  <c:v>8.0269999999999992</c:v>
                </c:pt>
                <c:pt idx="42">
                  <c:v>8.0239999999999991</c:v>
                </c:pt>
                <c:pt idx="43">
                  <c:v>7.9880000000000004</c:v>
                </c:pt>
                <c:pt idx="44">
                  <c:v>7.9880000000000004</c:v>
                </c:pt>
                <c:pt idx="45">
                  <c:v>8.1120000000000001</c:v>
                </c:pt>
                <c:pt idx="46">
                  <c:v>8.157</c:v>
                </c:pt>
                <c:pt idx="47">
                  <c:v>8.0250000000000004</c:v>
                </c:pt>
                <c:pt idx="48">
                  <c:v>7.9740000000000002</c:v>
                </c:pt>
                <c:pt idx="49">
                  <c:v>8.0760000000000005</c:v>
                </c:pt>
                <c:pt idx="50">
                  <c:v>8.0310000000000006</c:v>
                </c:pt>
                <c:pt idx="51">
                  <c:v>7.9859999999999998</c:v>
                </c:pt>
                <c:pt idx="52">
                  <c:v>7.9829999999999997</c:v>
                </c:pt>
                <c:pt idx="53">
                  <c:v>7.923</c:v>
                </c:pt>
                <c:pt idx="54">
                  <c:v>7.8730000000000002</c:v>
                </c:pt>
                <c:pt idx="55">
                  <c:v>7.9089999999999998</c:v>
                </c:pt>
                <c:pt idx="56">
                  <c:v>7.9089999999999998</c:v>
                </c:pt>
                <c:pt idx="57">
                  <c:v>7.9219999999999997</c:v>
                </c:pt>
                <c:pt idx="58">
                  <c:v>7.9290000000000003</c:v>
                </c:pt>
                <c:pt idx="59">
                  <c:v>7.891</c:v>
                </c:pt>
                <c:pt idx="60">
                  <c:v>7.8719999999999999</c:v>
                </c:pt>
                <c:pt idx="61">
                  <c:v>7.8689999999999998</c:v>
                </c:pt>
                <c:pt idx="62">
                  <c:v>7.8760000000000003</c:v>
                </c:pt>
                <c:pt idx="63">
                  <c:v>7.81</c:v>
                </c:pt>
                <c:pt idx="64">
                  <c:v>7.8310000000000004</c:v>
                </c:pt>
                <c:pt idx="65">
                  <c:v>7.8529999999999998</c:v>
                </c:pt>
                <c:pt idx="66">
                  <c:v>7.8230000000000004</c:v>
                </c:pt>
                <c:pt idx="67">
                  <c:v>7.7809999999999997</c:v>
                </c:pt>
                <c:pt idx="68">
                  <c:v>7.8079999999999998</c:v>
                </c:pt>
                <c:pt idx="69">
                  <c:v>7.7990000000000004</c:v>
                </c:pt>
                <c:pt idx="70">
                  <c:v>7.7990000000000004</c:v>
                </c:pt>
                <c:pt idx="71">
                  <c:v>7.7990000000000004</c:v>
                </c:pt>
                <c:pt idx="72">
                  <c:v>7.7629999999999999</c:v>
                </c:pt>
                <c:pt idx="73">
                  <c:v>7.8040000000000003</c:v>
                </c:pt>
                <c:pt idx="74">
                  <c:v>7.76</c:v>
                </c:pt>
                <c:pt idx="75">
                  <c:v>7.7329999999999997</c:v>
                </c:pt>
                <c:pt idx="76">
                  <c:v>7.7560000000000002</c:v>
                </c:pt>
                <c:pt idx="77">
                  <c:v>7.8159999999999998</c:v>
                </c:pt>
                <c:pt idx="78">
                  <c:v>7.7910000000000004</c:v>
                </c:pt>
                <c:pt idx="79">
                  <c:v>7.7930000000000001</c:v>
                </c:pt>
                <c:pt idx="80">
                  <c:v>7.7930000000000001</c:v>
                </c:pt>
                <c:pt idx="81">
                  <c:v>7.7110000000000003</c:v>
                </c:pt>
                <c:pt idx="82">
                  <c:v>7.7110000000000003</c:v>
                </c:pt>
                <c:pt idx="83">
                  <c:v>7.7270000000000003</c:v>
                </c:pt>
                <c:pt idx="84">
                  <c:v>7.7320000000000002</c:v>
                </c:pt>
                <c:pt idx="85">
                  <c:v>7.6429999999999998</c:v>
                </c:pt>
                <c:pt idx="86">
                  <c:v>7.6079999999999997</c:v>
                </c:pt>
                <c:pt idx="87">
                  <c:v>7.6070000000000002</c:v>
                </c:pt>
                <c:pt idx="88">
                  <c:v>7.6260000000000003</c:v>
                </c:pt>
                <c:pt idx="89">
                  <c:v>7.5730000000000004</c:v>
                </c:pt>
                <c:pt idx="90">
                  <c:v>7.4409999999999998</c:v>
                </c:pt>
                <c:pt idx="91">
                  <c:v>7.4249999999999998</c:v>
                </c:pt>
                <c:pt idx="92">
                  <c:v>7.4640000000000004</c:v>
                </c:pt>
                <c:pt idx="93">
                  <c:v>7.5869999999999997</c:v>
                </c:pt>
                <c:pt idx="94">
                  <c:v>7.5279999999999996</c:v>
                </c:pt>
                <c:pt idx="95">
                  <c:v>7.4109999999999996</c:v>
                </c:pt>
                <c:pt idx="96">
                  <c:v>7.4080000000000004</c:v>
                </c:pt>
                <c:pt idx="97">
                  <c:v>7.4409999999999998</c:v>
                </c:pt>
                <c:pt idx="98">
                  <c:v>7.4610000000000003</c:v>
                </c:pt>
                <c:pt idx="99">
                  <c:v>7.3449999999999998</c:v>
                </c:pt>
                <c:pt idx="100">
                  <c:v>7.22</c:v>
                </c:pt>
                <c:pt idx="101">
                  <c:v>7.2750000000000004</c:v>
                </c:pt>
                <c:pt idx="102">
                  <c:v>7.2770000000000001</c:v>
                </c:pt>
                <c:pt idx="103">
                  <c:v>7.2869999999999999</c:v>
                </c:pt>
                <c:pt idx="104">
                  <c:v>7.2869999999999999</c:v>
                </c:pt>
                <c:pt idx="105">
                  <c:v>7.2629999999999999</c:v>
                </c:pt>
                <c:pt idx="106">
                  <c:v>7.2759999999999998</c:v>
                </c:pt>
                <c:pt idx="107">
                  <c:v>7.3849999999999998</c:v>
                </c:pt>
                <c:pt idx="108">
                  <c:v>7.3689999999999998</c:v>
                </c:pt>
                <c:pt idx="109">
                  <c:v>7.4180000000000001</c:v>
                </c:pt>
                <c:pt idx="110">
                  <c:v>7.3550000000000004</c:v>
                </c:pt>
                <c:pt idx="111">
                  <c:v>7.4269999999999996</c:v>
                </c:pt>
                <c:pt idx="112">
                  <c:v>7.4480000000000004</c:v>
                </c:pt>
                <c:pt idx="113">
                  <c:v>7.6379999999999999</c:v>
                </c:pt>
                <c:pt idx="114">
                  <c:v>7.532</c:v>
                </c:pt>
                <c:pt idx="115">
                  <c:v>7.532</c:v>
                </c:pt>
                <c:pt idx="116">
                  <c:v>7.5890000000000004</c:v>
                </c:pt>
                <c:pt idx="117">
                  <c:v>7.5880000000000001</c:v>
                </c:pt>
                <c:pt idx="118">
                  <c:v>7.2240000000000002</c:v>
                </c:pt>
                <c:pt idx="119">
                  <c:v>7.2519999999999998</c:v>
                </c:pt>
                <c:pt idx="120">
                  <c:v>7.2729999999999997</c:v>
                </c:pt>
                <c:pt idx="121">
                  <c:v>7.2770000000000001</c:v>
                </c:pt>
                <c:pt idx="122">
                  <c:v>7.31</c:v>
                </c:pt>
                <c:pt idx="123">
                  <c:v>7.3129999999999997</c:v>
                </c:pt>
                <c:pt idx="124">
                  <c:v>7.3029999999999999</c:v>
                </c:pt>
                <c:pt idx="125">
                  <c:v>7.2939999999999996</c:v>
                </c:pt>
                <c:pt idx="126">
                  <c:v>7.3079999999999998</c:v>
                </c:pt>
                <c:pt idx="127">
                  <c:v>7.3289999999999997</c:v>
                </c:pt>
                <c:pt idx="128">
                  <c:v>7.3319999999999999</c:v>
                </c:pt>
                <c:pt idx="129">
                  <c:v>7.32</c:v>
                </c:pt>
                <c:pt idx="130">
                  <c:v>7.3250000000000002</c:v>
                </c:pt>
                <c:pt idx="131">
                  <c:v>7.2830000000000004</c:v>
                </c:pt>
                <c:pt idx="132">
                  <c:v>7.375</c:v>
                </c:pt>
                <c:pt idx="133">
                  <c:v>7.4059999999999997</c:v>
                </c:pt>
                <c:pt idx="134">
                  <c:v>7.3810000000000002</c:v>
                </c:pt>
                <c:pt idx="135">
                  <c:v>7.3579999999999997</c:v>
                </c:pt>
                <c:pt idx="136">
                  <c:v>7.319</c:v>
                </c:pt>
                <c:pt idx="137">
                  <c:v>7.335</c:v>
                </c:pt>
                <c:pt idx="138">
                  <c:v>7.3550000000000004</c:v>
                </c:pt>
                <c:pt idx="139">
                  <c:v>7.3570000000000002</c:v>
                </c:pt>
                <c:pt idx="140">
                  <c:v>7.2919999999999998</c:v>
                </c:pt>
                <c:pt idx="141">
                  <c:v>7.3319999999999999</c:v>
                </c:pt>
                <c:pt idx="142">
                  <c:v>7.359</c:v>
                </c:pt>
                <c:pt idx="143">
                  <c:v>7.3689999999999998</c:v>
                </c:pt>
                <c:pt idx="144">
                  <c:v>7.3689999999999998</c:v>
                </c:pt>
                <c:pt idx="145">
                  <c:v>7.3390000000000004</c:v>
                </c:pt>
                <c:pt idx="146">
                  <c:v>7.35</c:v>
                </c:pt>
                <c:pt idx="147">
                  <c:v>7.4189999999999996</c:v>
                </c:pt>
                <c:pt idx="148">
                  <c:v>7.4130000000000003</c:v>
                </c:pt>
                <c:pt idx="149">
                  <c:v>7.4219999999999997</c:v>
                </c:pt>
                <c:pt idx="150">
                  <c:v>7.4740000000000002</c:v>
                </c:pt>
                <c:pt idx="151">
                  <c:v>7.4089999999999998</c:v>
                </c:pt>
                <c:pt idx="152">
                  <c:v>7.3769999999999998</c:v>
                </c:pt>
                <c:pt idx="153">
                  <c:v>7.3769999999999998</c:v>
                </c:pt>
                <c:pt idx="154">
                  <c:v>7.3769999999999998</c:v>
                </c:pt>
                <c:pt idx="155">
                  <c:v>7.3879999999999999</c:v>
                </c:pt>
                <c:pt idx="156">
                  <c:v>7.3869999999999996</c:v>
                </c:pt>
                <c:pt idx="157">
                  <c:v>7.3650000000000002</c:v>
                </c:pt>
                <c:pt idx="158">
                  <c:v>7.35</c:v>
                </c:pt>
                <c:pt idx="159">
                  <c:v>7.3559999999999999</c:v>
                </c:pt>
                <c:pt idx="160">
                  <c:v>7.3769999999999998</c:v>
                </c:pt>
                <c:pt idx="161">
                  <c:v>7.3639999999999999</c:v>
                </c:pt>
                <c:pt idx="162">
                  <c:v>7.34</c:v>
                </c:pt>
                <c:pt idx="163">
                  <c:v>7.3170000000000002</c:v>
                </c:pt>
                <c:pt idx="164">
                  <c:v>7.375</c:v>
                </c:pt>
                <c:pt idx="165">
                  <c:v>7.3609999999999998</c:v>
                </c:pt>
                <c:pt idx="166">
                  <c:v>7.3609999999999998</c:v>
                </c:pt>
                <c:pt idx="167">
                  <c:v>7.3360000000000003</c:v>
                </c:pt>
                <c:pt idx="168">
                  <c:v>7.3239999999999998</c:v>
                </c:pt>
                <c:pt idx="169">
                  <c:v>7.34</c:v>
                </c:pt>
                <c:pt idx="170">
                  <c:v>7.3289999999999997</c:v>
                </c:pt>
                <c:pt idx="171">
                  <c:v>7.3230000000000004</c:v>
                </c:pt>
                <c:pt idx="172">
                  <c:v>7.351</c:v>
                </c:pt>
                <c:pt idx="173">
                  <c:v>7.351</c:v>
                </c:pt>
                <c:pt idx="174">
                  <c:v>7.2729999999999997</c:v>
                </c:pt>
                <c:pt idx="175">
                  <c:v>7.2709999999999999</c:v>
                </c:pt>
                <c:pt idx="176">
                  <c:v>7.3479999999999999</c:v>
                </c:pt>
                <c:pt idx="177">
                  <c:v>7.3540000000000001</c:v>
                </c:pt>
                <c:pt idx="178">
                  <c:v>7.4020000000000001</c:v>
                </c:pt>
                <c:pt idx="179">
                  <c:v>7.3769999999999998</c:v>
                </c:pt>
                <c:pt idx="180">
                  <c:v>7.367</c:v>
                </c:pt>
                <c:pt idx="181">
                  <c:v>7.3710000000000004</c:v>
                </c:pt>
                <c:pt idx="182">
                  <c:v>7.4059999999999997</c:v>
                </c:pt>
                <c:pt idx="183">
                  <c:v>7.39</c:v>
                </c:pt>
                <c:pt idx="184">
                  <c:v>7.39</c:v>
                </c:pt>
                <c:pt idx="185">
                  <c:v>7.39</c:v>
                </c:pt>
                <c:pt idx="186">
                  <c:v>7.4189999999999996</c:v>
                </c:pt>
                <c:pt idx="187">
                  <c:v>7.4189999999999996</c:v>
                </c:pt>
                <c:pt idx="188">
                  <c:v>7.4749999999999996</c:v>
                </c:pt>
                <c:pt idx="189">
                  <c:v>7.4740000000000002</c:v>
                </c:pt>
                <c:pt idx="190">
                  <c:v>7.4249999999999998</c:v>
                </c:pt>
                <c:pt idx="191">
                  <c:v>7.4459999999999997</c:v>
                </c:pt>
                <c:pt idx="192">
                  <c:v>7.4109999999999996</c:v>
                </c:pt>
                <c:pt idx="193">
                  <c:v>7.4109999999999996</c:v>
                </c:pt>
                <c:pt idx="194">
                  <c:v>7.4109999999999996</c:v>
                </c:pt>
                <c:pt idx="195">
                  <c:v>7.4109999999999996</c:v>
                </c:pt>
                <c:pt idx="196">
                  <c:v>7.3869999999999996</c:v>
                </c:pt>
                <c:pt idx="197">
                  <c:v>7.3929999999999998</c:v>
                </c:pt>
                <c:pt idx="198">
                  <c:v>7.3940000000000001</c:v>
                </c:pt>
                <c:pt idx="199">
                  <c:v>7.3819999999999997</c:v>
                </c:pt>
                <c:pt idx="200">
                  <c:v>7.375</c:v>
                </c:pt>
                <c:pt idx="201">
                  <c:v>7.3970000000000002</c:v>
                </c:pt>
                <c:pt idx="202">
                  <c:v>7.4130000000000003</c:v>
                </c:pt>
                <c:pt idx="203">
                  <c:v>7.391</c:v>
                </c:pt>
                <c:pt idx="204">
                  <c:v>7.3780000000000001</c:v>
                </c:pt>
                <c:pt idx="205">
                  <c:v>7.38</c:v>
                </c:pt>
                <c:pt idx="206">
                  <c:v>7.3769999999999998</c:v>
                </c:pt>
                <c:pt idx="207">
                  <c:v>7.3639999999999999</c:v>
                </c:pt>
                <c:pt idx="208">
                  <c:v>7.2869999999999999</c:v>
                </c:pt>
                <c:pt idx="209">
                  <c:v>7.3040000000000003</c:v>
                </c:pt>
                <c:pt idx="210">
                  <c:v>7.26</c:v>
                </c:pt>
                <c:pt idx="211">
                  <c:v>7.2359999999999998</c:v>
                </c:pt>
                <c:pt idx="212">
                  <c:v>7.2249999999999996</c:v>
                </c:pt>
                <c:pt idx="213">
                  <c:v>7.1669999999999998</c:v>
                </c:pt>
                <c:pt idx="214">
                  <c:v>7.1479999999999997</c:v>
                </c:pt>
                <c:pt idx="215">
                  <c:v>7.1260000000000003</c:v>
                </c:pt>
                <c:pt idx="216">
                  <c:v>7.1349999999999998</c:v>
                </c:pt>
                <c:pt idx="217">
                  <c:v>7.032</c:v>
                </c:pt>
                <c:pt idx="218">
                  <c:v>6.9820000000000002</c:v>
                </c:pt>
                <c:pt idx="219">
                  <c:v>7.02</c:v>
                </c:pt>
                <c:pt idx="220">
                  <c:v>7.02</c:v>
                </c:pt>
                <c:pt idx="221">
                  <c:v>6.9329999999999998</c:v>
                </c:pt>
                <c:pt idx="222">
                  <c:v>6.9740000000000002</c:v>
                </c:pt>
                <c:pt idx="223">
                  <c:v>7.077</c:v>
                </c:pt>
                <c:pt idx="224">
                  <c:v>7.0380000000000003</c:v>
                </c:pt>
                <c:pt idx="225">
                  <c:v>7.0129999999999999</c:v>
                </c:pt>
                <c:pt idx="226">
                  <c:v>7.0090000000000003</c:v>
                </c:pt>
                <c:pt idx="227">
                  <c:v>6.9189999999999996</c:v>
                </c:pt>
                <c:pt idx="228">
                  <c:v>6.931</c:v>
                </c:pt>
                <c:pt idx="229">
                  <c:v>6.8079999999999998</c:v>
                </c:pt>
                <c:pt idx="230">
                  <c:v>6.8410000000000002</c:v>
                </c:pt>
                <c:pt idx="231">
                  <c:v>6.7919999999999998</c:v>
                </c:pt>
                <c:pt idx="232">
                  <c:v>6.8579999999999997</c:v>
                </c:pt>
                <c:pt idx="233">
                  <c:v>6.851</c:v>
                </c:pt>
                <c:pt idx="234">
                  <c:v>6.88</c:v>
                </c:pt>
                <c:pt idx="235">
                  <c:v>6.9320000000000004</c:v>
                </c:pt>
                <c:pt idx="236">
                  <c:v>6.8949999999999996</c:v>
                </c:pt>
                <c:pt idx="237">
                  <c:v>6.8789999999999996</c:v>
                </c:pt>
                <c:pt idx="238">
                  <c:v>6.88</c:v>
                </c:pt>
                <c:pt idx="239">
                  <c:v>6.8440000000000003</c:v>
                </c:pt>
                <c:pt idx="240">
                  <c:v>6.8330000000000002</c:v>
                </c:pt>
                <c:pt idx="241">
                  <c:v>6.7480000000000002</c:v>
                </c:pt>
                <c:pt idx="242">
                  <c:v>6.6959999999999997</c:v>
                </c:pt>
                <c:pt idx="243">
                  <c:v>6.5659999999999998</c:v>
                </c:pt>
                <c:pt idx="244">
                  <c:v>6.5880000000000001</c:v>
                </c:pt>
                <c:pt idx="245">
                  <c:v>6.5430000000000001</c:v>
                </c:pt>
                <c:pt idx="246">
                  <c:v>6.4939999999999998</c:v>
                </c:pt>
                <c:pt idx="247">
                  <c:v>6.4879999999999995</c:v>
                </c:pt>
                <c:pt idx="248">
                  <c:v>6.4329999999999998</c:v>
                </c:pt>
                <c:pt idx="249">
                  <c:v>6.3330000000000002</c:v>
                </c:pt>
                <c:pt idx="250">
                  <c:v>6.3449999999999998</c:v>
                </c:pt>
                <c:pt idx="251">
                  <c:v>6.3870000000000005</c:v>
                </c:pt>
                <c:pt idx="252">
                  <c:v>6.3639999999999999</c:v>
                </c:pt>
                <c:pt idx="253">
                  <c:v>6.4180000000000001</c:v>
                </c:pt>
                <c:pt idx="254">
                  <c:v>6.4630000000000001</c:v>
                </c:pt>
                <c:pt idx="255">
                  <c:v>6.4370000000000003</c:v>
                </c:pt>
                <c:pt idx="256">
                  <c:v>6.5110000000000001</c:v>
                </c:pt>
                <c:pt idx="257">
                  <c:v>6.524</c:v>
                </c:pt>
                <c:pt idx="258">
                  <c:v>6.4119999999999999</c:v>
                </c:pt>
                <c:pt idx="259">
                  <c:v>6.39</c:v>
                </c:pt>
                <c:pt idx="260">
                  <c:v>6.3689999999999998</c:v>
                </c:pt>
                <c:pt idx="261">
                  <c:v>6.4219999999999997</c:v>
                </c:pt>
                <c:pt idx="262" formatCode="General">
                  <c:v>6.3520000000000003</c:v>
                </c:pt>
                <c:pt idx="263" formatCode="General">
                  <c:v>6.3920000000000003</c:v>
                </c:pt>
                <c:pt idx="264" formatCode="General">
                  <c:v>6.3390000000000004</c:v>
                </c:pt>
                <c:pt idx="265" formatCode="General">
                  <c:v>6.3689999999999998</c:v>
                </c:pt>
                <c:pt idx="266" formatCode="General">
                  <c:v>6.4030000000000005</c:v>
                </c:pt>
                <c:pt idx="267" formatCode="General">
                  <c:v>6.4980000000000002</c:v>
                </c:pt>
                <c:pt idx="268" formatCode="General">
                  <c:v>6.4980000000000002</c:v>
                </c:pt>
                <c:pt idx="269" formatCode="General">
                  <c:v>6.5259999999999998</c:v>
                </c:pt>
                <c:pt idx="270" formatCode="General">
                  <c:v>6.6310000000000002</c:v>
                </c:pt>
                <c:pt idx="271" formatCode="General">
                  <c:v>6.6310000000000002</c:v>
                </c:pt>
                <c:pt idx="272" formatCode="General">
                  <c:v>6.5449999999999999</c:v>
                </c:pt>
                <c:pt idx="273" formatCode="General">
                  <c:v>6.5890000000000004</c:v>
                </c:pt>
                <c:pt idx="274" formatCode="General">
                  <c:v>6.5860000000000003</c:v>
                </c:pt>
                <c:pt idx="275" formatCode="General">
                  <c:v>6.5670000000000002</c:v>
                </c:pt>
                <c:pt idx="276" formatCode="General">
                  <c:v>6.5600000000000005</c:v>
                </c:pt>
                <c:pt idx="277" formatCode="General">
                  <c:v>6.5739999999999998</c:v>
                </c:pt>
                <c:pt idx="278" formatCode="General">
                  <c:v>6.48</c:v>
                </c:pt>
                <c:pt idx="279" formatCode="General">
                  <c:v>6.53</c:v>
                </c:pt>
                <c:pt idx="280" formatCode="General">
                  <c:v>6.5720000000000001</c:v>
                </c:pt>
                <c:pt idx="281" formatCode="General">
                  <c:v>6.5510000000000002</c:v>
                </c:pt>
                <c:pt idx="282" formatCode="General">
                  <c:v>6.5590000000000002</c:v>
                </c:pt>
                <c:pt idx="283" formatCode="General">
                  <c:v>6.5590000000000002</c:v>
                </c:pt>
                <c:pt idx="284" formatCode="General">
                  <c:v>6.5209999999999999</c:v>
                </c:pt>
                <c:pt idx="285" formatCode="General">
                  <c:v>6.5510000000000002</c:v>
                </c:pt>
                <c:pt idx="286" formatCode="General">
                  <c:v>6.5780000000000003</c:v>
                </c:pt>
                <c:pt idx="287" formatCode="General">
                  <c:v>6.6020000000000003</c:v>
                </c:pt>
                <c:pt idx="288" formatCode="General">
                  <c:v>6.577</c:v>
                </c:pt>
                <c:pt idx="289" formatCode="General">
                  <c:v>6.577</c:v>
                </c:pt>
                <c:pt idx="290" formatCode="General">
                  <c:v>6.68</c:v>
                </c:pt>
                <c:pt idx="291" formatCode="General">
                  <c:v>6.6680000000000001</c:v>
                </c:pt>
                <c:pt idx="292" formatCode="General">
                  <c:v>6.6370000000000005</c:v>
                </c:pt>
                <c:pt idx="293" formatCode="General">
                  <c:v>6.7160000000000002</c:v>
                </c:pt>
                <c:pt idx="294" formatCode="General">
                  <c:v>6.7320000000000002</c:v>
                </c:pt>
                <c:pt idx="295" formatCode="General">
                  <c:v>6.6239999999999997</c:v>
                </c:pt>
                <c:pt idx="296" formatCode="General">
                  <c:v>6.6379999999999999</c:v>
                </c:pt>
                <c:pt idx="297" formatCode="General">
                  <c:v>6.7889999999999997</c:v>
                </c:pt>
                <c:pt idx="298" formatCode="General">
                  <c:v>6.7489999999999997</c:v>
                </c:pt>
                <c:pt idx="299" formatCode="General">
                  <c:v>6.7809999999999997</c:v>
                </c:pt>
                <c:pt idx="300" formatCode="General">
                  <c:v>6.758</c:v>
                </c:pt>
                <c:pt idx="301" formatCode="General">
                  <c:v>6.7169999999999996</c:v>
                </c:pt>
                <c:pt idx="302" formatCode="General">
                  <c:v>6.7350000000000003</c:v>
                </c:pt>
                <c:pt idx="303" formatCode="General">
                  <c:v>6.702</c:v>
                </c:pt>
              </c:numCache>
            </c:numRef>
          </c:val>
          <c:smooth val="0"/>
        </c:ser>
        <c:ser>
          <c:idx val="1"/>
          <c:order val="1"/>
          <c:tx>
            <c:strRef>
              <c:f>'10 Year Bond Yield'!$H$1</c:f>
              <c:strCache>
                <c:ptCount val="1"/>
                <c:pt idx="0">
                  <c:v>China</c:v>
                </c:pt>
              </c:strCache>
            </c:strRef>
          </c:tx>
          <c:spPr>
            <a:ln w="28575" cap="rnd">
              <a:solidFill>
                <a:schemeClr val="accent2"/>
              </a:solidFill>
              <a:round/>
            </a:ln>
            <a:effectLst/>
          </c:spPr>
          <c:marker>
            <c:symbol val="none"/>
          </c:marker>
          <c:cat>
            <c:numRef>
              <c:f>'10 Year Bond Yield'!$A$1979:$A$2282</c:f>
              <c:numCache>
                <c:formatCode>[$-409]mmm\-yy;@</c:formatCode>
                <c:ptCount val="304"/>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pt idx="66">
                  <c:v>43405</c:v>
                </c:pt>
                <c:pt idx="67">
                  <c:v>43406</c:v>
                </c:pt>
                <c:pt idx="68">
                  <c:v>43409</c:v>
                </c:pt>
                <c:pt idx="69">
                  <c:v>43410</c:v>
                </c:pt>
                <c:pt idx="70">
                  <c:v>43411</c:v>
                </c:pt>
                <c:pt idx="71">
                  <c:v>43412</c:v>
                </c:pt>
                <c:pt idx="72">
                  <c:v>43413</c:v>
                </c:pt>
                <c:pt idx="73">
                  <c:v>43416</c:v>
                </c:pt>
                <c:pt idx="74">
                  <c:v>43417</c:v>
                </c:pt>
                <c:pt idx="75">
                  <c:v>43418</c:v>
                </c:pt>
                <c:pt idx="76">
                  <c:v>43419</c:v>
                </c:pt>
                <c:pt idx="77">
                  <c:v>43420</c:v>
                </c:pt>
                <c:pt idx="78">
                  <c:v>43423</c:v>
                </c:pt>
                <c:pt idx="79">
                  <c:v>43424</c:v>
                </c:pt>
                <c:pt idx="80">
                  <c:v>43425</c:v>
                </c:pt>
                <c:pt idx="81">
                  <c:v>43426</c:v>
                </c:pt>
                <c:pt idx="82">
                  <c:v>43427</c:v>
                </c:pt>
                <c:pt idx="83">
                  <c:v>43430</c:v>
                </c:pt>
                <c:pt idx="84">
                  <c:v>43431</c:v>
                </c:pt>
                <c:pt idx="85">
                  <c:v>43432</c:v>
                </c:pt>
                <c:pt idx="86">
                  <c:v>43433</c:v>
                </c:pt>
                <c:pt idx="87">
                  <c:v>43434</c:v>
                </c:pt>
                <c:pt idx="88">
                  <c:v>43437</c:v>
                </c:pt>
                <c:pt idx="89">
                  <c:v>43438</c:v>
                </c:pt>
                <c:pt idx="90">
                  <c:v>43439</c:v>
                </c:pt>
                <c:pt idx="91">
                  <c:v>43440</c:v>
                </c:pt>
                <c:pt idx="92">
                  <c:v>43441</c:v>
                </c:pt>
                <c:pt idx="93">
                  <c:v>43444</c:v>
                </c:pt>
                <c:pt idx="94">
                  <c:v>43445</c:v>
                </c:pt>
                <c:pt idx="95">
                  <c:v>43446</c:v>
                </c:pt>
                <c:pt idx="96">
                  <c:v>43447</c:v>
                </c:pt>
                <c:pt idx="97">
                  <c:v>43448</c:v>
                </c:pt>
                <c:pt idx="98">
                  <c:v>43451</c:v>
                </c:pt>
                <c:pt idx="99">
                  <c:v>43452</c:v>
                </c:pt>
                <c:pt idx="100">
                  <c:v>43453</c:v>
                </c:pt>
                <c:pt idx="101">
                  <c:v>43454</c:v>
                </c:pt>
                <c:pt idx="102">
                  <c:v>43455</c:v>
                </c:pt>
                <c:pt idx="103">
                  <c:v>43458</c:v>
                </c:pt>
                <c:pt idx="104">
                  <c:v>43459</c:v>
                </c:pt>
                <c:pt idx="105">
                  <c:v>43460</c:v>
                </c:pt>
                <c:pt idx="106">
                  <c:v>43461</c:v>
                </c:pt>
                <c:pt idx="107">
                  <c:v>43462</c:v>
                </c:pt>
                <c:pt idx="108">
                  <c:v>43465</c:v>
                </c:pt>
                <c:pt idx="109">
                  <c:v>43466</c:v>
                </c:pt>
                <c:pt idx="110">
                  <c:v>43467</c:v>
                </c:pt>
                <c:pt idx="111">
                  <c:v>43468</c:v>
                </c:pt>
                <c:pt idx="112">
                  <c:v>43469</c:v>
                </c:pt>
                <c:pt idx="113">
                  <c:v>43472</c:v>
                </c:pt>
                <c:pt idx="114">
                  <c:v>43473</c:v>
                </c:pt>
                <c:pt idx="115">
                  <c:v>43474</c:v>
                </c:pt>
                <c:pt idx="116">
                  <c:v>43475</c:v>
                </c:pt>
                <c:pt idx="117">
                  <c:v>43476</c:v>
                </c:pt>
                <c:pt idx="118">
                  <c:v>43479</c:v>
                </c:pt>
                <c:pt idx="119">
                  <c:v>43480</c:v>
                </c:pt>
                <c:pt idx="120">
                  <c:v>43481</c:v>
                </c:pt>
                <c:pt idx="121">
                  <c:v>43482</c:v>
                </c:pt>
                <c:pt idx="122">
                  <c:v>43483</c:v>
                </c:pt>
                <c:pt idx="123">
                  <c:v>43486</c:v>
                </c:pt>
                <c:pt idx="124">
                  <c:v>43487</c:v>
                </c:pt>
                <c:pt idx="125">
                  <c:v>43488</c:v>
                </c:pt>
                <c:pt idx="126">
                  <c:v>43489</c:v>
                </c:pt>
                <c:pt idx="127">
                  <c:v>43490</c:v>
                </c:pt>
                <c:pt idx="128">
                  <c:v>43493</c:v>
                </c:pt>
                <c:pt idx="129">
                  <c:v>43494</c:v>
                </c:pt>
                <c:pt idx="130">
                  <c:v>43495</c:v>
                </c:pt>
                <c:pt idx="131">
                  <c:v>43496</c:v>
                </c:pt>
                <c:pt idx="132">
                  <c:v>43497</c:v>
                </c:pt>
                <c:pt idx="133">
                  <c:v>43500</c:v>
                </c:pt>
                <c:pt idx="134">
                  <c:v>43501</c:v>
                </c:pt>
                <c:pt idx="135">
                  <c:v>43502</c:v>
                </c:pt>
                <c:pt idx="136">
                  <c:v>43503</c:v>
                </c:pt>
                <c:pt idx="137">
                  <c:v>43504</c:v>
                </c:pt>
                <c:pt idx="138">
                  <c:v>43507</c:v>
                </c:pt>
                <c:pt idx="139">
                  <c:v>43508</c:v>
                </c:pt>
                <c:pt idx="140">
                  <c:v>43509</c:v>
                </c:pt>
                <c:pt idx="141">
                  <c:v>43510</c:v>
                </c:pt>
                <c:pt idx="142">
                  <c:v>43511</c:v>
                </c:pt>
                <c:pt idx="143">
                  <c:v>43514</c:v>
                </c:pt>
                <c:pt idx="144">
                  <c:v>43515</c:v>
                </c:pt>
                <c:pt idx="145">
                  <c:v>43516</c:v>
                </c:pt>
                <c:pt idx="146">
                  <c:v>43517</c:v>
                </c:pt>
                <c:pt idx="147">
                  <c:v>43518</c:v>
                </c:pt>
                <c:pt idx="148">
                  <c:v>43521</c:v>
                </c:pt>
                <c:pt idx="149">
                  <c:v>43522</c:v>
                </c:pt>
                <c:pt idx="150">
                  <c:v>43523</c:v>
                </c:pt>
                <c:pt idx="151">
                  <c:v>43524</c:v>
                </c:pt>
                <c:pt idx="152">
                  <c:v>43525</c:v>
                </c:pt>
                <c:pt idx="153">
                  <c:v>43528</c:v>
                </c:pt>
                <c:pt idx="154">
                  <c:v>43529</c:v>
                </c:pt>
                <c:pt idx="155">
                  <c:v>43530</c:v>
                </c:pt>
                <c:pt idx="156">
                  <c:v>43531</c:v>
                </c:pt>
                <c:pt idx="157">
                  <c:v>43532</c:v>
                </c:pt>
                <c:pt idx="158">
                  <c:v>43535</c:v>
                </c:pt>
                <c:pt idx="159">
                  <c:v>43536</c:v>
                </c:pt>
                <c:pt idx="160">
                  <c:v>43537</c:v>
                </c:pt>
                <c:pt idx="161">
                  <c:v>43538</c:v>
                </c:pt>
                <c:pt idx="162">
                  <c:v>43539</c:v>
                </c:pt>
                <c:pt idx="163">
                  <c:v>43542</c:v>
                </c:pt>
                <c:pt idx="164">
                  <c:v>43543</c:v>
                </c:pt>
                <c:pt idx="165">
                  <c:v>43544</c:v>
                </c:pt>
                <c:pt idx="166">
                  <c:v>43545</c:v>
                </c:pt>
                <c:pt idx="167">
                  <c:v>43546</c:v>
                </c:pt>
                <c:pt idx="168">
                  <c:v>43549</c:v>
                </c:pt>
                <c:pt idx="169">
                  <c:v>43550</c:v>
                </c:pt>
                <c:pt idx="170">
                  <c:v>43551</c:v>
                </c:pt>
                <c:pt idx="171">
                  <c:v>43552</c:v>
                </c:pt>
                <c:pt idx="172">
                  <c:v>43553</c:v>
                </c:pt>
                <c:pt idx="173">
                  <c:v>43556</c:v>
                </c:pt>
                <c:pt idx="174">
                  <c:v>43557</c:v>
                </c:pt>
                <c:pt idx="175">
                  <c:v>43558</c:v>
                </c:pt>
                <c:pt idx="176">
                  <c:v>43559</c:v>
                </c:pt>
                <c:pt idx="177">
                  <c:v>43560</c:v>
                </c:pt>
                <c:pt idx="178">
                  <c:v>43563</c:v>
                </c:pt>
                <c:pt idx="179">
                  <c:v>43564</c:v>
                </c:pt>
                <c:pt idx="180">
                  <c:v>43565</c:v>
                </c:pt>
                <c:pt idx="181">
                  <c:v>43566</c:v>
                </c:pt>
                <c:pt idx="182">
                  <c:v>43567</c:v>
                </c:pt>
                <c:pt idx="183">
                  <c:v>43570</c:v>
                </c:pt>
                <c:pt idx="184">
                  <c:v>43571</c:v>
                </c:pt>
                <c:pt idx="185">
                  <c:v>43572</c:v>
                </c:pt>
                <c:pt idx="186">
                  <c:v>43573</c:v>
                </c:pt>
                <c:pt idx="187">
                  <c:v>43574</c:v>
                </c:pt>
                <c:pt idx="188">
                  <c:v>43577</c:v>
                </c:pt>
                <c:pt idx="189">
                  <c:v>43578</c:v>
                </c:pt>
                <c:pt idx="190">
                  <c:v>43579</c:v>
                </c:pt>
                <c:pt idx="191">
                  <c:v>43580</c:v>
                </c:pt>
                <c:pt idx="192">
                  <c:v>43581</c:v>
                </c:pt>
                <c:pt idx="193">
                  <c:v>43584</c:v>
                </c:pt>
                <c:pt idx="194">
                  <c:v>43585</c:v>
                </c:pt>
                <c:pt idx="195">
                  <c:v>43586</c:v>
                </c:pt>
                <c:pt idx="196">
                  <c:v>43587</c:v>
                </c:pt>
                <c:pt idx="197">
                  <c:v>43588</c:v>
                </c:pt>
                <c:pt idx="198">
                  <c:v>43591</c:v>
                </c:pt>
                <c:pt idx="199">
                  <c:v>43592</c:v>
                </c:pt>
                <c:pt idx="200">
                  <c:v>43593</c:v>
                </c:pt>
                <c:pt idx="201">
                  <c:v>43594</c:v>
                </c:pt>
                <c:pt idx="202">
                  <c:v>43595</c:v>
                </c:pt>
                <c:pt idx="203">
                  <c:v>43598</c:v>
                </c:pt>
                <c:pt idx="204">
                  <c:v>43599</c:v>
                </c:pt>
                <c:pt idx="205">
                  <c:v>43600</c:v>
                </c:pt>
                <c:pt idx="206">
                  <c:v>43601</c:v>
                </c:pt>
                <c:pt idx="207">
                  <c:v>43602</c:v>
                </c:pt>
                <c:pt idx="208">
                  <c:v>43605</c:v>
                </c:pt>
                <c:pt idx="209">
                  <c:v>43606</c:v>
                </c:pt>
                <c:pt idx="210">
                  <c:v>43607</c:v>
                </c:pt>
                <c:pt idx="211">
                  <c:v>43608</c:v>
                </c:pt>
                <c:pt idx="212">
                  <c:v>43609</c:v>
                </c:pt>
                <c:pt idx="213">
                  <c:v>43612</c:v>
                </c:pt>
                <c:pt idx="214">
                  <c:v>43613</c:v>
                </c:pt>
                <c:pt idx="215">
                  <c:v>43614</c:v>
                </c:pt>
                <c:pt idx="216">
                  <c:v>43615</c:v>
                </c:pt>
                <c:pt idx="217">
                  <c:v>43616</c:v>
                </c:pt>
                <c:pt idx="218">
                  <c:v>43619</c:v>
                </c:pt>
                <c:pt idx="219">
                  <c:v>43620</c:v>
                </c:pt>
                <c:pt idx="220">
                  <c:v>43621</c:v>
                </c:pt>
                <c:pt idx="221">
                  <c:v>43622</c:v>
                </c:pt>
                <c:pt idx="222">
                  <c:v>43623</c:v>
                </c:pt>
                <c:pt idx="223">
                  <c:v>43626</c:v>
                </c:pt>
                <c:pt idx="224">
                  <c:v>43627</c:v>
                </c:pt>
                <c:pt idx="225">
                  <c:v>43628</c:v>
                </c:pt>
                <c:pt idx="226">
                  <c:v>43629</c:v>
                </c:pt>
                <c:pt idx="227">
                  <c:v>43630</c:v>
                </c:pt>
                <c:pt idx="228">
                  <c:v>43633</c:v>
                </c:pt>
                <c:pt idx="229">
                  <c:v>43634</c:v>
                </c:pt>
                <c:pt idx="230">
                  <c:v>43635</c:v>
                </c:pt>
                <c:pt idx="231">
                  <c:v>43636</c:v>
                </c:pt>
                <c:pt idx="232">
                  <c:v>43637</c:v>
                </c:pt>
                <c:pt idx="233">
                  <c:v>43640</c:v>
                </c:pt>
                <c:pt idx="234">
                  <c:v>43641</c:v>
                </c:pt>
                <c:pt idx="235">
                  <c:v>43642</c:v>
                </c:pt>
                <c:pt idx="236">
                  <c:v>43643</c:v>
                </c:pt>
                <c:pt idx="237">
                  <c:v>43644</c:v>
                </c:pt>
                <c:pt idx="238">
                  <c:v>43647</c:v>
                </c:pt>
                <c:pt idx="239">
                  <c:v>43648</c:v>
                </c:pt>
                <c:pt idx="240">
                  <c:v>43649</c:v>
                </c:pt>
                <c:pt idx="241">
                  <c:v>43650</c:v>
                </c:pt>
                <c:pt idx="242">
                  <c:v>43651</c:v>
                </c:pt>
                <c:pt idx="243">
                  <c:v>43654</c:v>
                </c:pt>
                <c:pt idx="244">
                  <c:v>43655</c:v>
                </c:pt>
                <c:pt idx="245">
                  <c:v>43656</c:v>
                </c:pt>
                <c:pt idx="246">
                  <c:v>43657</c:v>
                </c:pt>
                <c:pt idx="247">
                  <c:v>43658</c:v>
                </c:pt>
                <c:pt idx="248">
                  <c:v>43661</c:v>
                </c:pt>
                <c:pt idx="249">
                  <c:v>43662</c:v>
                </c:pt>
                <c:pt idx="250">
                  <c:v>43663</c:v>
                </c:pt>
                <c:pt idx="251">
                  <c:v>43664</c:v>
                </c:pt>
                <c:pt idx="252">
                  <c:v>43665</c:v>
                </c:pt>
                <c:pt idx="253">
                  <c:v>43668</c:v>
                </c:pt>
                <c:pt idx="254">
                  <c:v>43669</c:v>
                </c:pt>
                <c:pt idx="255">
                  <c:v>43670</c:v>
                </c:pt>
                <c:pt idx="256">
                  <c:v>43671</c:v>
                </c:pt>
                <c:pt idx="257">
                  <c:v>43672</c:v>
                </c:pt>
                <c:pt idx="258">
                  <c:v>43675</c:v>
                </c:pt>
                <c:pt idx="259">
                  <c:v>43676</c:v>
                </c:pt>
                <c:pt idx="260">
                  <c:v>43677</c:v>
                </c:pt>
                <c:pt idx="261">
                  <c:v>43678</c:v>
                </c:pt>
                <c:pt idx="262">
                  <c:v>43679</c:v>
                </c:pt>
                <c:pt idx="263">
                  <c:v>43682</c:v>
                </c:pt>
                <c:pt idx="264">
                  <c:v>43683</c:v>
                </c:pt>
                <c:pt idx="265">
                  <c:v>43684</c:v>
                </c:pt>
                <c:pt idx="266">
                  <c:v>43685</c:v>
                </c:pt>
                <c:pt idx="267">
                  <c:v>43686</c:v>
                </c:pt>
                <c:pt idx="268">
                  <c:v>43689</c:v>
                </c:pt>
                <c:pt idx="269">
                  <c:v>43690</c:v>
                </c:pt>
                <c:pt idx="270">
                  <c:v>43691</c:v>
                </c:pt>
                <c:pt idx="271">
                  <c:v>43692</c:v>
                </c:pt>
                <c:pt idx="272">
                  <c:v>43693</c:v>
                </c:pt>
                <c:pt idx="273">
                  <c:v>43696</c:v>
                </c:pt>
                <c:pt idx="274">
                  <c:v>43697</c:v>
                </c:pt>
                <c:pt idx="275">
                  <c:v>43698</c:v>
                </c:pt>
                <c:pt idx="276">
                  <c:v>43699</c:v>
                </c:pt>
                <c:pt idx="277">
                  <c:v>43700</c:v>
                </c:pt>
                <c:pt idx="278">
                  <c:v>43703</c:v>
                </c:pt>
                <c:pt idx="279">
                  <c:v>43704</c:v>
                </c:pt>
                <c:pt idx="280">
                  <c:v>43705</c:v>
                </c:pt>
                <c:pt idx="281">
                  <c:v>43706</c:v>
                </c:pt>
                <c:pt idx="282">
                  <c:v>43707</c:v>
                </c:pt>
                <c:pt idx="283">
                  <c:v>43710</c:v>
                </c:pt>
                <c:pt idx="284">
                  <c:v>43711</c:v>
                </c:pt>
                <c:pt idx="285">
                  <c:v>43712</c:v>
                </c:pt>
                <c:pt idx="286">
                  <c:v>43713</c:v>
                </c:pt>
                <c:pt idx="287">
                  <c:v>43714</c:v>
                </c:pt>
                <c:pt idx="288">
                  <c:v>43717</c:v>
                </c:pt>
                <c:pt idx="289">
                  <c:v>43718</c:v>
                </c:pt>
                <c:pt idx="290">
                  <c:v>43719</c:v>
                </c:pt>
                <c:pt idx="291">
                  <c:v>43720</c:v>
                </c:pt>
                <c:pt idx="292">
                  <c:v>43721</c:v>
                </c:pt>
                <c:pt idx="293">
                  <c:v>43724</c:v>
                </c:pt>
                <c:pt idx="294">
                  <c:v>43725</c:v>
                </c:pt>
                <c:pt idx="295">
                  <c:v>43726</c:v>
                </c:pt>
                <c:pt idx="296">
                  <c:v>43727</c:v>
                </c:pt>
                <c:pt idx="297">
                  <c:v>43728</c:v>
                </c:pt>
                <c:pt idx="298">
                  <c:v>43731</c:v>
                </c:pt>
                <c:pt idx="299">
                  <c:v>43732</c:v>
                </c:pt>
                <c:pt idx="300">
                  <c:v>43733</c:v>
                </c:pt>
                <c:pt idx="301">
                  <c:v>43734</c:v>
                </c:pt>
                <c:pt idx="302">
                  <c:v>43735</c:v>
                </c:pt>
                <c:pt idx="303">
                  <c:v>43738</c:v>
                </c:pt>
              </c:numCache>
            </c:numRef>
          </c:cat>
          <c:val>
            <c:numRef>
              <c:f>'10 Year Bond Yield'!$H$1979:$H$2282</c:f>
              <c:numCache>
                <c:formatCode>0.00</c:formatCode>
                <c:ptCount val="304"/>
                <c:pt idx="0">
                  <c:v>3.4689999999999999</c:v>
                </c:pt>
                <c:pt idx="1">
                  <c:v>3.4780000000000002</c:v>
                </c:pt>
                <c:pt idx="2">
                  <c:v>3.464</c:v>
                </c:pt>
                <c:pt idx="3">
                  <c:v>3.47</c:v>
                </c:pt>
                <c:pt idx="4">
                  <c:v>3.5</c:v>
                </c:pt>
                <c:pt idx="5">
                  <c:v>3.5270000000000001</c:v>
                </c:pt>
                <c:pt idx="6">
                  <c:v>3.5510000000000002</c:v>
                </c:pt>
                <c:pt idx="7">
                  <c:v>3.5569999999999999</c:v>
                </c:pt>
                <c:pt idx="8">
                  <c:v>3.597</c:v>
                </c:pt>
                <c:pt idx="9">
                  <c:v>3.5630000000000002</c:v>
                </c:pt>
                <c:pt idx="10">
                  <c:v>3.5920000000000001</c:v>
                </c:pt>
                <c:pt idx="11">
                  <c:v>3.61</c:v>
                </c:pt>
                <c:pt idx="12">
                  <c:v>3.6520000000000001</c:v>
                </c:pt>
                <c:pt idx="13">
                  <c:v>3.6480000000000001</c:v>
                </c:pt>
                <c:pt idx="14">
                  <c:v>3.6549999999999998</c:v>
                </c:pt>
                <c:pt idx="15">
                  <c:v>3.6389999999999998</c:v>
                </c:pt>
                <c:pt idx="16">
                  <c:v>3.6160000000000001</c:v>
                </c:pt>
                <c:pt idx="17">
                  <c:v>3.6339999999999999</c:v>
                </c:pt>
                <c:pt idx="18">
                  <c:v>3.64</c:v>
                </c:pt>
                <c:pt idx="19">
                  <c:v>3.6389999999999998</c:v>
                </c:pt>
                <c:pt idx="20">
                  <c:v>3.6259999999999999</c:v>
                </c:pt>
                <c:pt idx="21">
                  <c:v>3.609</c:v>
                </c:pt>
                <c:pt idx="22">
                  <c:v>3.5950000000000002</c:v>
                </c:pt>
                <c:pt idx="23">
                  <c:v>3.605</c:v>
                </c:pt>
                <c:pt idx="24">
                  <c:v>3.6139999999999999</c:v>
                </c:pt>
                <c:pt idx="25">
                  <c:v>3.6269999999999998</c:v>
                </c:pt>
                <c:pt idx="26">
                  <c:v>3.633</c:v>
                </c:pt>
                <c:pt idx="27">
                  <c:v>3.645</c:v>
                </c:pt>
                <c:pt idx="28">
                  <c:v>3.6579999999999999</c:v>
                </c:pt>
                <c:pt idx="29">
                  <c:v>3.6749999999999998</c:v>
                </c:pt>
                <c:pt idx="30">
                  <c:v>3.6789999999999998</c:v>
                </c:pt>
                <c:pt idx="31">
                  <c:v>3.68</c:v>
                </c:pt>
                <c:pt idx="32">
                  <c:v>3.677</c:v>
                </c:pt>
                <c:pt idx="33">
                  <c:v>3.6619999999999999</c:v>
                </c:pt>
                <c:pt idx="34">
                  <c:v>3.665</c:v>
                </c:pt>
                <c:pt idx="35">
                  <c:v>3.681</c:v>
                </c:pt>
                <c:pt idx="36">
                  <c:v>3.698</c:v>
                </c:pt>
                <c:pt idx="37">
                  <c:v>3.6989999999999998</c:v>
                </c:pt>
                <c:pt idx="38">
                  <c:v>3.6989999999999998</c:v>
                </c:pt>
                <c:pt idx="39">
                  <c:v>3.6880000000000002</c:v>
                </c:pt>
                <c:pt idx="40">
                  <c:v>3.6579999999999999</c:v>
                </c:pt>
                <c:pt idx="41">
                  <c:v>3.6360000000000001</c:v>
                </c:pt>
                <c:pt idx="42">
                  <c:v>3.625</c:v>
                </c:pt>
                <c:pt idx="43">
                  <c:v>3.625</c:v>
                </c:pt>
                <c:pt idx="44">
                  <c:v>3.625</c:v>
                </c:pt>
                <c:pt idx="45">
                  <c:v>3.625</c:v>
                </c:pt>
                <c:pt idx="46">
                  <c:v>3.625</c:v>
                </c:pt>
                <c:pt idx="47">
                  <c:v>3.625</c:v>
                </c:pt>
                <c:pt idx="48">
                  <c:v>3.6190000000000002</c:v>
                </c:pt>
                <c:pt idx="49">
                  <c:v>3.6280000000000001</c:v>
                </c:pt>
                <c:pt idx="50">
                  <c:v>3.6219999999999999</c:v>
                </c:pt>
                <c:pt idx="51">
                  <c:v>3.59</c:v>
                </c:pt>
                <c:pt idx="52">
                  <c:v>3.585</c:v>
                </c:pt>
                <c:pt idx="53">
                  <c:v>3.5990000000000002</c:v>
                </c:pt>
                <c:pt idx="54">
                  <c:v>3.5859999999999999</c:v>
                </c:pt>
                <c:pt idx="55">
                  <c:v>3.5880000000000001</c:v>
                </c:pt>
                <c:pt idx="56">
                  <c:v>3.5640000000000001</c:v>
                </c:pt>
                <c:pt idx="57">
                  <c:v>3.5760000000000001</c:v>
                </c:pt>
                <c:pt idx="58">
                  <c:v>3.6030000000000002</c:v>
                </c:pt>
                <c:pt idx="59">
                  <c:v>3.585</c:v>
                </c:pt>
                <c:pt idx="60">
                  <c:v>3.5649999999999999</c:v>
                </c:pt>
                <c:pt idx="61">
                  <c:v>3.5449999999999999</c:v>
                </c:pt>
                <c:pt idx="62">
                  <c:v>3.5510000000000002</c:v>
                </c:pt>
                <c:pt idx="63">
                  <c:v>3.5289999999999999</c:v>
                </c:pt>
                <c:pt idx="64">
                  <c:v>3.5379999999999998</c:v>
                </c:pt>
                <c:pt idx="65">
                  <c:v>3.536</c:v>
                </c:pt>
                <c:pt idx="66">
                  <c:v>3.5219999999999998</c:v>
                </c:pt>
                <c:pt idx="67">
                  <c:v>3.5539999999999998</c:v>
                </c:pt>
                <c:pt idx="68">
                  <c:v>3.5379999999999998</c:v>
                </c:pt>
                <c:pt idx="69">
                  <c:v>3.5259999999999998</c:v>
                </c:pt>
                <c:pt idx="70">
                  <c:v>3.5070000000000001</c:v>
                </c:pt>
                <c:pt idx="71">
                  <c:v>3.4990000000000001</c:v>
                </c:pt>
                <c:pt idx="72">
                  <c:v>3.49</c:v>
                </c:pt>
                <c:pt idx="73">
                  <c:v>3.4889999999999999</c:v>
                </c:pt>
                <c:pt idx="74">
                  <c:v>3.4830000000000001</c:v>
                </c:pt>
                <c:pt idx="75">
                  <c:v>3.4319999999999999</c:v>
                </c:pt>
                <c:pt idx="76">
                  <c:v>3.4119999999999999</c:v>
                </c:pt>
                <c:pt idx="77">
                  <c:v>3.3620000000000001</c:v>
                </c:pt>
                <c:pt idx="78">
                  <c:v>3.3929999999999998</c:v>
                </c:pt>
                <c:pt idx="79">
                  <c:v>3.3919999999999999</c:v>
                </c:pt>
                <c:pt idx="80">
                  <c:v>3.387</c:v>
                </c:pt>
                <c:pt idx="81">
                  <c:v>3.3959999999999999</c:v>
                </c:pt>
                <c:pt idx="82">
                  <c:v>3.4169999999999998</c:v>
                </c:pt>
                <c:pt idx="83">
                  <c:v>3.4129999999999998</c:v>
                </c:pt>
                <c:pt idx="84">
                  <c:v>3.411</c:v>
                </c:pt>
                <c:pt idx="85">
                  <c:v>3.4</c:v>
                </c:pt>
                <c:pt idx="86">
                  <c:v>3.3839999999999999</c:v>
                </c:pt>
                <c:pt idx="87">
                  <c:v>3.38</c:v>
                </c:pt>
                <c:pt idx="88">
                  <c:v>3.3809999999999998</c:v>
                </c:pt>
                <c:pt idx="89">
                  <c:v>3.339</c:v>
                </c:pt>
                <c:pt idx="90">
                  <c:v>3.319</c:v>
                </c:pt>
                <c:pt idx="91">
                  <c:v>3.3159999999999998</c:v>
                </c:pt>
                <c:pt idx="92">
                  <c:v>3.3130000000000002</c:v>
                </c:pt>
                <c:pt idx="93">
                  <c:v>3.274</c:v>
                </c:pt>
                <c:pt idx="94">
                  <c:v>3.3029999999999999</c:v>
                </c:pt>
                <c:pt idx="95">
                  <c:v>3.286</c:v>
                </c:pt>
                <c:pt idx="96">
                  <c:v>3.3530000000000002</c:v>
                </c:pt>
                <c:pt idx="97">
                  <c:v>3.375</c:v>
                </c:pt>
                <c:pt idx="98">
                  <c:v>3.383</c:v>
                </c:pt>
                <c:pt idx="99">
                  <c:v>3.3820000000000001</c:v>
                </c:pt>
                <c:pt idx="100">
                  <c:v>3.3610000000000002</c:v>
                </c:pt>
                <c:pt idx="101">
                  <c:v>3.3359999999999999</c:v>
                </c:pt>
                <c:pt idx="102">
                  <c:v>3.3279999999999998</c:v>
                </c:pt>
                <c:pt idx="103">
                  <c:v>3.3519999999999999</c:v>
                </c:pt>
                <c:pt idx="104">
                  <c:v>3.32</c:v>
                </c:pt>
                <c:pt idx="105">
                  <c:v>3.31</c:v>
                </c:pt>
                <c:pt idx="106">
                  <c:v>3.31</c:v>
                </c:pt>
                <c:pt idx="107">
                  <c:v>3.31</c:v>
                </c:pt>
                <c:pt idx="108">
                  <c:v>3.31</c:v>
                </c:pt>
                <c:pt idx="109">
                  <c:v>3.31</c:v>
                </c:pt>
                <c:pt idx="110">
                  <c:v>3.1779999999999999</c:v>
                </c:pt>
                <c:pt idx="111">
                  <c:v>3.1560000000000001</c:v>
                </c:pt>
                <c:pt idx="112">
                  <c:v>3.1379999999999999</c:v>
                </c:pt>
                <c:pt idx="113">
                  <c:v>3.169</c:v>
                </c:pt>
                <c:pt idx="114">
                  <c:v>3.1469999999999998</c:v>
                </c:pt>
                <c:pt idx="115">
                  <c:v>3.1469999999999998</c:v>
                </c:pt>
                <c:pt idx="116">
                  <c:v>3.1469999999999998</c:v>
                </c:pt>
                <c:pt idx="117">
                  <c:v>3.12</c:v>
                </c:pt>
                <c:pt idx="118">
                  <c:v>3.141</c:v>
                </c:pt>
                <c:pt idx="119">
                  <c:v>3.1469999999999998</c:v>
                </c:pt>
                <c:pt idx="120">
                  <c:v>3.0830000000000002</c:v>
                </c:pt>
                <c:pt idx="121">
                  <c:v>3.081</c:v>
                </c:pt>
                <c:pt idx="122">
                  <c:v>3.105</c:v>
                </c:pt>
                <c:pt idx="123">
                  <c:v>3.1120000000000001</c:v>
                </c:pt>
                <c:pt idx="124">
                  <c:v>3.121</c:v>
                </c:pt>
                <c:pt idx="125">
                  <c:v>3.1320000000000001</c:v>
                </c:pt>
                <c:pt idx="126">
                  <c:v>3.1320000000000001</c:v>
                </c:pt>
                <c:pt idx="127">
                  <c:v>3.1440000000000001</c:v>
                </c:pt>
                <c:pt idx="128">
                  <c:v>3.1539999999999999</c:v>
                </c:pt>
                <c:pt idx="129">
                  <c:v>3.137</c:v>
                </c:pt>
                <c:pt idx="130">
                  <c:v>3.1349999999999998</c:v>
                </c:pt>
                <c:pt idx="131">
                  <c:v>3.1059999999999999</c:v>
                </c:pt>
                <c:pt idx="132">
                  <c:v>3.11</c:v>
                </c:pt>
                <c:pt idx="133">
                  <c:v>3.11</c:v>
                </c:pt>
                <c:pt idx="134">
                  <c:v>3.11</c:v>
                </c:pt>
                <c:pt idx="135">
                  <c:v>3.11</c:v>
                </c:pt>
                <c:pt idx="136">
                  <c:v>3.11</c:v>
                </c:pt>
                <c:pt idx="137">
                  <c:v>3.11</c:v>
                </c:pt>
                <c:pt idx="138">
                  <c:v>3.11</c:v>
                </c:pt>
                <c:pt idx="139">
                  <c:v>3.077</c:v>
                </c:pt>
                <c:pt idx="140">
                  <c:v>3.0779999999999998</c:v>
                </c:pt>
                <c:pt idx="141">
                  <c:v>3.089</c:v>
                </c:pt>
                <c:pt idx="142">
                  <c:v>3.0880000000000001</c:v>
                </c:pt>
                <c:pt idx="143">
                  <c:v>3.1139999999999999</c:v>
                </c:pt>
                <c:pt idx="144">
                  <c:v>3.1280000000000001</c:v>
                </c:pt>
                <c:pt idx="145">
                  <c:v>3.1179999999999999</c:v>
                </c:pt>
                <c:pt idx="146">
                  <c:v>3.137</c:v>
                </c:pt>
                <c:pt idx="147">
                  <c:v>3.145</c:v>
                </c:pt>
                <c:pt idx="148">
                  <c:v>3.1720000000000002</c:v>
                </c:pt>
                <c:pt idx="149">
                  <c:v>3.19</c:v>
                </c:pt>
                <c:pt idx="150">
                  <c:v>3.177</c:v>
                </c:pt>
                <c:pt idx="151">
                  <c:v>3.1779999999999999</c:v>
                </c:pt>
                <c:pt idx="152">
                  <c:v>3.2040000000000002</c:v>
                </c:pt>
                <c:pt idx="153">
                  <c:v>3.2050000000000001</c:v>
                </c:pt>
                <c:pt idx="154">
                  <c:v>3.2290000000000001</c:v>
                </c:pt>
                <c:pt idx="155">
                  <c:v>3.198</c:v>
                </c:pt>
                <c:pt idx="156">
                  <c:v>3.1749999999999998</c:v>
                </c:pt>
                <c:pt idx="157">
                  <c:v>3.149</c:v>
                </c:pt>
                <c:pt idx="158">
                  <c:v>3.1480000000000001</c:v>
                </c:pt>
                <c:pt idx="159">
                  <c:v>3.1579999999999999</c:v>
                </c:pt>
                <c:pt idx="160">
                  <c:v>3.1469999999999998</c:v>
                </c:pt>
                <c:pt idx="161">
                  <c:v>3.1520000000000001</c:v>
                </c:pt>
                <c:pt idx="162">
                  <c:v>3.15</c:v>
                </c:pt>
                <c:pt idx="163">
                  <c:v>3.1419999999999999</c:v>
                </c:pt>
                <c:pt idx="164">
                  <c:v>3.1419999999999999</c:v>
                </c:pt>
                <c:pt idx="165">
                  <c:v>3.1459999999999999</c:v>
                </c:pt>
                <c:pt idx="166">
                  <c:v>3.1259999999999999</c:v>
                </c:pt>
                <c:pt idx="167">
                  <c:v>3.1080000000000001</c:v>
                </c:pt>
                <c:pt idx="168">
                  <c:v>3.1080000000000001</c:v>
                </c:pt>
                <c:pt idx="169">
                  <c:v>3.1080000000000001</c:v>
                </c:pt>
                <c:pt idx="170">
                  <c:v>3.09</c:v>
                </c:pt>
                <c:pt idx="171">
                  <c:v>3.0830000000000002</c:v>
                </c:pt>
                <c:pt idx="172">
                  <c:v>3.069</c:v>
                </c:pt>
                <c:pt idx="173">
                  <c:v>3.1480000000000001</c:v>
                </c:pt>
                <c:pt idx="174">
                  <c:v>3.1739999999999999</c:v>
                </c:pt>
                <c:pt idx="175">
                  <c:v>3.2509999999999999</c:v>
                </c:pt>
                <c:pt idx="176">
                  <c:v>3.262</c:v>
                </c:pt>
                <c:pt idx="177">
                  <c:v>3.262</c:v>
                </c:pt>
                <c:pt idx="178">
                  <c:v>3.2559999999999998</c:v>
                </c:pt>
                <c:pt idx="179">
                  <c:v>3.302</c:v>
                </c:pt>
                <c:pt idx="180">
                  <c:v>3.319</c:v>
                </c:pt>
                <c:pt idx="181">
                  <c:v>3.2810000000000001</c:v>
                </c:pt>
                <c:pt idx="182">
                  <c:v>3.3559999999999999</c:v>
                </c:pt>
                <c:pt idx="183">
                  <c:v>3.3719999999999999</c:v>
                </c:pt>
                <c:pt idx="184">
                  <c:v>3.3959999999999999</c:v>
                </c:pt>
                <c:pt idx="185">
                  <c:v>3.391</c:v>
                </c:pt>
                <c:pt idx="186">
                  <c:v>3.3580000000000001</c:v>
                </c:pt>
                <c:pt idx="187">
                  <c:v>3.379</c:v>
                </c:pt>
                <c:pt idx="188">
                  <c:v>3.4119999999999999</c:v>
                </c:pt>
                <c:pt idx="189">
                  <c:v>3.407</c:v>
                </c:pt>
                <c:pt idx="190">
                  <c:v>3.431</c:v>
                </c:pt>
                <c:pt idx="191">
                  <c:v>3.419</c:v>
                </c:pt>
                <c:pt idx="192">
                  <c:v>3.4049999999999998</c:v>
                </c:pt>
                <c:pt idx="193">
                  <c:v>3.4350000000000001</c:v>
                </c:pt>
                <c:pt idx="194">
                  <c:v>3.4020000000000001</c:v>
                </c:pt>
                <c:pt idx="195">
                  <c:v>3.4020000000000001</c:v>
                </c:pt>
                <c:pt idx="196">
                  <c:v>3.4020000000000001</c:v>
                </c:pt>
                <c:pt idx="197">
                  <c:v>3.4020000000000001</c:v>
                </c:pt>
                <c:pt idx="198">
                  <c:v>3.3660000000000001</c:v>
                </c:pt>
                <c:pt idx="199">
                  <c:v>3.3580000000000001</c:v>
                </c:pt>
                <c:pt idx="200">
                  <c:v>3.3460000000000001</c:v>
                </c:pt>
                <c:pt idx="201">
                  <c:v>3.3079999999999998</c:v>
                </c:pt>
                <c:pt idx="202">
                  <c:v>3.3119999999999998</c:v>
                </c:pt>
                <c:pt idx="203">
                  <c:v>3.2759999999999998</c:v>
                </c:pt>
                <c:pt idx="204">
                  <c:v>3.2869999999999999</c:v>
                </c:pt>
                <c:pt idx="205">
                  <c:v>3.2810000000000001</c:v>
                </c:pt>
                <c:pt idx="206">
                  <c:v>3.2679999999999998</c:v>
                </c:pt>
                <c:pt idx="207">
                  <c:v>3.266</c:v>
                </c:pt>
                <c:pt idx="208">
                  <c:v>3.2730000000000001</c:v>
                </c:pt>
                <c:pt idx="209">
                  <c:v>3.3140000000000001</c:v>
                </c:pt>
                <c:pt idx="210">
                  <c:v>3.3220000000000001</c:v>
                </c:pt>
                <c:pt idx="211">
                  <c:v>3.3119999999999998</c:v>
                </c:pt>
                <c:pt idx="212">
                  <c:v>3.3090000000000002</c:v>
                </c:pt>
                <c:pt idx="213">
                  <c:v>3.3540000000000001</c:v>
                </c:pt>
                <c:pt idx="214">
                  <c:v>3.323</c:v>
                </c:pt>
                <c:pt idx="215">
                  <c:v>3.2949999999999999</c:v>
                </c:pt>
                <c:pt idx="216">
                  <c:v>3.2949999999999999</c:v>
                </c:pt>
                <c:pt idx="217">
                  <c:v>3.2949999999999999</c:v>
                </c:pt>
                <c:pt idx="218">
                  <c:v>3.262</c:v>
                </c:pt>
                <c:pt idx="219">
                  <c:v>3.242</c:v>
                </c:pt>
                <c:pt idx="220">
                  <c:v>3.242</c:v>
                </c:pt>
                <c:pt idx="221">
                  <c:v>3.254</c:v>
                </c:pt>
                <c:pt idx="222">
                  <c:v>3.254</c:v>
                </c:pt>
                <c:pt idx="223">
                  <c:v>3.2589999999999999</c:v>
                </c:pt>
                <c:pt idx="224">
                  <c:v>3.2669999999999999</c:v>
                </c:pt>
                <c:pt idx="225">
                  <c:v>3.2909999999999999</c:v>
                </c:pt>
                <c:pt idx="226">
                  <c:v>3.2749999999999999</c:v>
                </c:pt>
                <c:pt idx="227">
                  <c:v>3.2690000000000001</c:v>
                </c:pt>
                <c:pt idx="228">
                  <c:v>3.2389999999999999</c:v>
                </c:pt>
                <c:pt idx="229">
                  <c:v>3.2519999999999998</c:v>
                </c:pt>
                <c:pt idx="230">
                  <c:v>3.2549999999999999</c:v>
                </c:pt>
                <c:pt idx="231">
                  <c:v>3.2549999999999999</c:v>
                </c:pt>
                <c:pt idx="232">
                  <c:v>3.2549999999999999</c:v>
                </c:pt>
                <c:pt idx="233">
                  <c:v>3.2480000000000002</c:v>
                </c:pt>
                <c:pt idx="234">
                  <c:v>3.2389999999999999</c:v>
                </c:pt>
                <c:pt idx="235">
                  <c:v>3.2530000000000001</c:v>
                </c:pt>
                <c:pt idx="236">
                  <c:v>3.262</c:v>
                </c:pt>
                <c:pt idx="237">
                  <c:v>3.2360000000000002</c:v>
                </c:pt>
                <c:pt idx="238">
                  <c:v>3.2290000000000001</c:v>
                </c:pt>
                <c:pt idx="239">
                  <c:v>3.1709999999999998</c:v>
                </c:pt>
                <c:pt idx="240">
                  <c:v>3.161</c:v>
                </c:pt>
                <c:pt idx="241">
                  <c:v>3.16</c:v>
                </c:pt>
                <c:pt idx="242">
                  <c:v>3.1779999999999999</c:v>
                </c:pt>
                <c:pt idx="243">
                  <c:v>3.1859999999999999</c:v>
                </c:pt>
                <c:pt idx="244">
                  <c:v>3.169</c:v>
                </c:pt>
                <c:pt idx="245">
                  <c:v>3.177</c:v>
                </c:pt>
                <c:pt idx="246">
                  <c:v>3.173</c:v>
                </c:pt>
                <c:pt idx="247">
                  <c:v>3.157</c:v>
                </c:pt>
                <c:pt idx="248">
                  <c:v>3.1859999999999999</c:v>
                </c:pt>
                <c:pt idx="249">
                  <c:v>3.1779999999999999</c:v>
                </c:pt>
                <c:pt idx="250">
                  <c:v>3.1779999999999999</c:v>
                </c:pt>
                <c:pt idx="251">
                  <c:v>3.1629999999999998</c:v>
                </c:pt>
                <c:pt idx="252">
                  <c:v>3.161</c:v>
                </c:pt>
                <c:pt idx="253">
                  <c:v>3.1509999999999998</c:v>
                </c:pt>
                <c:pt idx="254">
                  <c:v>3.1560000000000001</c:v>
                </c:pt>
                <c:pt idx="255">
                  <c:v>3.17</c:v>
                </c:pt>
                <c:pt idx="256">
                  <c:v>3.1680000000000001</c:v>
                </c:pt>
                <c:pt idx="257">
                  <c:v>3.173</c:v>
                </c:pt>
                <c:pt idx="258">
                  <c:v>3.1829999999999998</c:v>
                </c:pt>
                <c:pt idx="259">
                  <c:v>3.181</c:v>
                </c:pt>
                <c:pt idx="260">
                  <c:v>3.16</c:v>
                </c:pt>
                <c:pt idx="261">
                  <c:v>3.1509999999999998</c:v>
                </c:pt>
                <c:pt idx="262" formatCode="General">
                  <c:v>3.1030000000000002</c:v>
                </c:pt>
                <c:pt idx="263" formatCode="General">
                  <c:v>3.0680000000000001</c:v>
                </c:pt>
                <c:pt idx="264" formatCode="General">
                  <c:v>3.0739999999999998</c:v>
                </c:pt>
                <c:pt idx="265" formatCode="General">
                  <c:v>3.05</c:v>
                </c:pt>
                <c:pt idx="266" formatCode="General">
                  <c:v>3.05</c:v>
                </c:pt>
                <c:pt idx="267" formatCode="General">
                  <c:v>3.0270000000000001</c:v>
                </c:pt>
                <c:pt idx="268" formatCode="General">
                  <c:v>3.0270000000000001</c:v>
                </c:pt>
                <c:pt idx="269" formatCode="General">
                  <c:v>3.0110000000000001</c:v>
                </c:pt>
                <c:pt idx="270" formatCode="General">
                  <c:v>3.0150000000000001</c:v>
                </c:pt>
                <c:pt idx="271" formatCode="General">
                  <c:v>3.0139999999999998</c:v>
                </c:pt>
                <c:pt idx="272" formatCode="General">
                  <c:v>3.024</c:v>
                </c:pt>
                <c:pt idx="273" formatCode="General">
                  <c:v>3.0209999999999999</c:v>
                </c:pt>
                <c:pt idx="274" formatCode="General">
                  <c:v>3.032</c:v>
                </c:pt>
                <c:pt idx="275" formatCode="General">
                  <c:v>3.0579999999999998</c:v>
                </c:pt>
                <c:pt idx="276" formatCode="General">
                  <c:v>3.0579999999999998</c:v>
                </c:pt>
                <c:pt idx="277" formatCode="General">
                  <c:v>3.0720000000000001</c:v>
                </c:pt>
                <c:pt idx="278" formatCode="General">
                  <c:v>3.0529999999999999</c:v>
                </c:pt>
                <c:pt idx="279" formatCode="General">
                  <c:v>3.0539999999999998</c:v>
                </c:pt>
                <c:pt idx="280" formatCode="General">
                  <c:v>3.056</c:v>
                </c:pt>
                <c:pt idx="281" formatCode="General">
                  <c:v>3.0350000000000001</c:v>
                </c:pt>
                <c:pt idx="282" formatCode="General">
                  <c:v>3.0609999999999999</c:v>
                </c:pt>
                <c:pt idx="283" formatCode="General">
                  <c:v>3.081</c:v>
                </c:pt>
                <c:pt idx="284" formatCode="General">
                  <c:v>3.069</c:v>
                </c:pt>
                <c:pt idx="285" formatCode="General">
                  <c:v>3.0470000000000002</c:v>
                </c:pt>
                <c:pt idx="286" formatCode="General">
                  <c:v>3.0179999999999998</c:v>
                </c:pt>
                <c:pt idx="287" formatCode="General">
                  <c:v>3.01</c:v>
                </c:pt>
                <c:pt idx="288" formatCode="General">
                  <c:v>3.0270000000000001</c:v>
                </c:pt>
                <c:pt idx="289" formatCode="General">
                  <c:v>3.0449999999999999</c:v>
                </c:pt>
                <c:pt idx="290" formatCode="General">
                  <c:v>3.0569999999999999</c:v>
                </c:pt>
                <c:pt idx="291" formatCode="General">
                  <c:v>3.089</c:v>
                </c:pt>
                <c:pt idx="292" formatCode="General">
                  <c:v>3.089</c:v>
                </c:pt>
                <c:pt idx="293" formatCode="General">
                  <c:v>3.0920000000000001</c:v>
                </c:pt>
                <c:pt idx="294" formatCode="General">
                  <c:v>3.105</c:v>
                </c:pt>
                <c:pt idx="295" formatCode="General">
                  <c:v>3.1269999999999998</c:v>
                </c:pt>
                <c:pt idx="296" formatCode="General">
                  <c:v>3.105</c:v>
                </c:pt>
                <c:pt idx="297" formatCode="General">
                  <c:v>3.0990000000000002</c:v>
                </c:pt>
                <c:pt idx="298" formatCode="General">
                  <c:v>3.1040000000000001</c:v>
                </c:pt>
                <c:pt idx="299" formatCode="General">
                  <c:v>3.12</c:v>
                </c:pt>
                <c:pt idx="300" formatCode="General">
                  <c:v>3.1189999999999998</c:v>
                </c:pt>
                <c:pt idx="301" formatCode="General">
                  <c:v>3.1349999999999998</c:v>
                </c:pt>
                <c:pt idx="302" formatCode="General">
                  <c:v>3.1459999999999999</c:v>
                </c:pt>
                <c:pt idx="303" formatCode="General">
                  <c:v>3.141</c:v>
                </c:pt>
              </c:numCache>
            </c:numRef>
          </c:val>
          <c:smooth val="0"/>
        </c:ser>
        <c:ser>
          <c:idx val="2"/>
          <c:order val="2"/>
          <c:tx>
            <c:strRef>
              <c:f>'10 Year Bond Yield'!$I$1</c:f>
              <c:strCache>
                <c:ptCount val="1"/>
                <c:pt idx="0">
                  <c:v>Brazil</c:v>
                </c:pt>
              </c:strCache>
            </c:strRef>
          </c:tx>
          <c:spPr>
            <a:ln w="28575" cap="rnd">
              <a:solidFill>
                <a:schemeClr val="accent3"/>
              </a:solidFill>
              <a:round/>
            </a:ln>
            <a:effectLst/>
          </c:spPr>
          <c:marker>
            <c:symbol val="none"/>
          </c:marker>
          <c:cat>
            <c:numRef>
              <c:f>'10 Year Bond Yield'!$A$1979:$A$2282</c:f>
              <c:numCache>
                <c:formatCode>[$-409]mmm\-yy;@</c:formatCode>
                <c:ptCount val="304"/>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pt idx="66">
                  <c:v>43405</c:v>
                </c:pt>
                <c:pt idx="67">
                  <c:v>43406</c:v>
                </c:pt>
                <c:pt idx="68">
                  <c:v>43409</c:v>
                </c:pt>
                <c:pt idx="69">
                  <c:v>43410</c:v>
                </c:pt>
                <c:pt idx="70">
                  <c:v>43411</c:v>
                </c:pt>
                <c:pt idx="71">
                  <c:v>43412</c:v>
                </c:pt>
                <c:pt idx="72">
                  <c:v>43413</c:v>
                </c:pt>
                <c:pt idx="73">
                  <c:v>43416</c:v>
                </c:pt>
                <c:pt idx="74">
                  <c:v>43417</c:v>
                </c:pt>
                <c:pt idx="75">
                  <c:v>43418</c:v>
                </c:pt>
                <c:pt idx="76">
                  <c:v>43419</c:v>
                </c:pt>
                <c:pt idx="77">
                  <c:v>43420</c:v>
                </c:pt>
                <c:pt idx="78">
                  <c:v>43423</c:v>
                </c:pt>
                <c:pt idx="79">
                  <c:v>43424</c:v>
                </c:pt>
                <c:pt idx="80">
                  <c:v>43425</c:v>
                </c:pt>
                <c:pt idx="81">
                  <c:v>43426</c:v>
                </c:pt>
                <c:pt idx="82">
                  <c:v>43427</c:v>
                </c:pt>
                <c:pt idx="83">
                  <c:v>43430</c:v>
                </c:pt>
                <c:pt idx="84">
                  <c:v>43431</c:v>
                </c:pt>
                <c:pt idx="85">
                  <c:v>43432</c:v>
                </c:pt>
                <c:pt idx="86">
                  <c:v>43433</c:v>
                </c:pt>
                <c:pt idx="87">
                  <c:v>43434</c:v>
                </c:pt>
                <c:pt idx="88">
                  <c:v>43437</c:v>
                </c:pt>
                <c:pt idx="89">
                  <c:v>43438</c:v>
                </c:pt>
                <c:pt idx="90">
                  <c:v>43439</c:v>
                </c:pt>
                <c:pt idx="91">
                  <c:v>43440</c:v>
                </c:pt>
                <c:pt idx="92">
                  <c:v>43441</c:v>
                </c:pt>
                <c:pt idx="93">
                  <c:v>43444</c:v>
                </c:pt>
                <c:pt idx="94">
                  <c:v>43445</c:v>
                </c:pt>
                <c:pt idx="95">
                  <c:v>43446</c:v>
                </c:pt>
                <c:pt idx="96">
                  <c:v>43447</c:v>
                </c:pt>
                <c:pt idx="97">
                  <c:v>43448</c:v>
                </c:pt>
                <c:pt idx="98">
                  <c:v>43451</c:v>
                </c:pt>
                <c:pt idx="99">
                  <c:v>43452</c:v>
                </c:pt>
                <c:pt idx="100">
                  <c:v>43453</c:v>
                </c:pt>
                <c:pt idx="101">
                  <c:v>43454</c:v>
                </c:pt>
                <c:pt idx="102">
                  <c:v>43455</c:v>
                </c:pt>
                <c:pt idx="103">
                  <c:v>43458</c:v>
                </c:pt>
                <c:pt idx="104">
                  <c:v>43459</c:v>
                </c:pt>
                <c:pt idx="105">
                  <c:v>43460</c:v>
                </c:pt>
                <c:pt idx="106">
                  <c:v>43461</c:v>
                </c:pt>
                <c:pt idx="107">
                  <c:v>43462</c:v>
                </c:pt>
                <c:pt idx="108">
                  <c:v>43465</c:v>
                </c:pt>
                <c:pt idx="109">
                  <c:v>43466</c:v>
                </c:pt>
                <c:pt idx="110">
                  <c:v>43467</c:v>
                </c:pt>
                <c:pt idx="111">
                  <c:v>43468</c:v>
                </c:pt>
                <c:pt idx="112">
                  <c:v>43469</c:v>
                </c:pt>
                <c:pt idx="113">
                  <c:v>43472</c:v>
                </c:pt>
                <c:pt idx="114">
                  <c:v>43473</c:v>
                </c:pt>
                <c:pt idx="115">
                  <c:v>43474</c:v>
                </c:pt>
                <c:pt idx="116">
                  <c:v>43475</c:v>
                </c:pt>
                <c:pt idx="117">
                  <c:v>43476</c:v>
                </c:pt>
                <c:pt idx="118">
                  <c:v>43479</c:v>
                </c:pt>
                <c:pt idx="119">
                  <c:v>43480</c:v>
                </c:pt>
                <c:pt idx="120">
                  <c:v>43481</c:v>
                </c:pt>
                <c:pt idx="121">
                  <c:v>43482</c:v>
                </c:pt>
                <c:pt idx="122">
                  <c:v>43483</c:v>
                </c:pt>
                <c:pt idx="123">
                  <c:v>43486</c:v>
                </c:pt>
                <c:pt idx="124">
                  <c:v>43487</c:v>
                </c:pt>
                <c:pt idx="125">
                  <c:v>43488</c:v>
                </c:pt>
                <c:pt idx="126">
                  <c:v>43489</c:v>
                </c:pt>
                <c:pt idx="127">
                  <c:v>43490</c:v>
                </c:pt>
                <c:pt idx="128">
                  <c:v>43493</c:v>
                </c:pt>
                <c:pt idx="129">
                  <c:v>43494</c:v>
                </c:pt>
                <c:pt idx="130">
                  <c:v>43495</c:v>
                </c:pt>
                <c:pt idx="131">
                  <c:v>43496</c:v>
                </c:pt>
                <c:pt idx="132">
                  <c:v>43497</c:v>
                </c:pt>
                <c:pt idx="133">
                  <c:v>43500</c:v>
                </c:pt>
                <c:pt idx="134">
                  <c:v>43501</c:v>
                </c:pt>
                <c:pt idx="135">
                  <c:v>43502</c:v>
                </c:pt>
                <c:pt idx="136">
                  <c:v>43503</c:v>
                </c:pt>
                <c:pt idx="137">
                  <c:v>43504</c:v>
                </c:pt>
                <c:pt idx="138">
                  <c:v>43507</c:v>
                </c:pt>
                <c:pt idx="139">
                  <c:v>43508</c:v>
                </c:pt>
                <c:pt idx="140">
                  <c:v>43509</c:v>
                </c:pt>
                <c:pt idx="141">
                  <c:v>43510</c:v>
                </c:pt>
                <c:pt idx="142">
                  <c:v>43511</c:v>
                </c:pt>
                <c:pt idx="143">
                  <c:v>43514</c:v>
                </c:pt>
                <c:pt idx="144">
                  <c:v>43515</c:v>
                </c:pt>
                <c:pt idx="145">
                  <c:v>43516</c:v>
                </c:pt>
                <c:pt idx="146">
                  <c:v>43517</c:v>
                </c:pt>
                <c:pt idx="147">
                  <c:v>43518</c:v>
                </c:pt>
                <c:pt idx="148">
                  <c:v>43521</c:v>
                </c:pt>
                <c:pt idx="149">
                  <c:v>43522</c:v>
                </c:pt>
                <c:pt idx="150">
                  <c:v>43523</c:v>
                </c:pt>
                <c:pt idx="151">
                  <c:v>43524</c:v>
                </c:pt>
                <c:pt idx="152">
                  <c:v>43525</c:v>
                </c:pt>
                <c:pt idx="153">
                  <c:v>43528</c:v>
                </c:pt>
                <c:pt idx="154">
                  <c:v>43529</c:v>
                </c:pt>
                <c:pt idx="155">
                  <c:v>43530</c:v>
                </c:pt>
                <c:pt idx="156">
                  <c:v>43531</c:v>
                </c:pt>
                <c:pt idx="157">
                  <c:v>43532</c:v>
                </c:pt>
                <c:pt idx="158">
                  <c:v>43535</c:v>
                </c:pt>
                <c:pt idx="159">
                  <c:v>43536</c:v>
                </c:pt>
                <c:pt idx="160">
                  <c:v>43537</c:v>
                </c:pt>
                <c:pt idx="161">
                  <c:v>43538</c:v>
                </c:pt>
                <c:pt idx="162">
                  <c:v>43539</c:v>
                </c:pt>
                <c:pt idx="163">
                  <c:v>43542</c:v>
                </c:pt>
                <c:pt idx="164">
                  <c:v>43543</c:v>
                </c:pt>
                <c:pt idx="165">
                  <c:v>43544</c:v>
                </c:pt>
                <c:pt idx="166">
                  <c:v>43545</c:v>
                </c:pt>
                <c:pt idx="167">
                  <c:v>43546</c:v>
                </c:pt>
                <c:pt idx="168">
                  <c:v>43549</c:v>
                </c:pt>
                <c:pt idx="169">
                  <c:v>43550</c:v>
                </c:pt>
                <c:pt idx="170">
                  <c:v>43551</c:v>
                </c:pt>
                <c:pt idx="171">
                  <c:v>43552</c:v>
                </c:pt>
                <c:pt idx="172">
                  <c:v>43553</c:v>
                </c:pt>
                <c:pt idx="173">
                  <c:v>43556</c:v>
                </c:pt>
                <c:pt idx="174">
                  <c:v>43557</c:v>
                </c:pt>
                <c:pt idx="175">
                  <c:v>43558</c:v>
                </c:pt>
                <c:pt idx="176">
                  <c:v>43559</c:v>
                </c:pt>
                <c:pt idx="177">
                  <c:v>43560</c:v>
                </c:pt>
                <c:pt idx="178">
                  <c:v>43563</c:v>
                </c:pt>
                <c:pt idx="179">
                  <c:v>43564</c:v>
                </c:pt>
                <c:pt idx="180">
                  <c:v>43565</c:v>
                </c:pt>
                <c:pt idx="181">
                  <c:v>43566</c:v>
                </c:pt>
                <c:pt idx="182">
                  <c:v>43567</c:v>
                </c:pt>
                <c:pt idx="183">
                  <c:v>43570</c:v>
                </c:pt>
                <c:pt idx="184">
                  <c:v>43571</c:v>
                </c:pt>
                <c:pt idx="185">
                  <c:v>43572</c:v>
                </c:pt>
                <c:pt idx="186">
                  <c:v>43573</c:v>
                </c:pt>
                <c:pt idx="187">
                  <c:v>43574</c:v>
                </c:pt>
                <c:pt idx="188">
                  <c:v>43577</c:v>
                </c:pt>
                <c:pt idx="189">
                  <c:v>43578</c:v>
                </c:pt>
                <c:pt idx="190">
                  <c:v>43579</c:v>
                </c:pt>
                <c:pt idx="191">
                  <c:v>43580</c:v>
                </c:pt>
                <c:pt idx="192">
                  <c:v>43581</c:v>
                </c:pt>
                <c:pt idx="193">
                  <c:v>43584</c:v>
                </c:pt>
                <c:pt idx="194">
                  <c:v>43585</c:v>
                </c:pt>
                <c:pt idx="195">
                  <c:v>43586</c:v>
                </c:pt>
                <c:pt idx="196">
                  <c:v>43587</c:v>
                </c:pt>
                <c:pt idx="197">
                  <c:v>43588</c:v>
                </c:pt>
                <c:pt idx="198">
                  <c:v>43591</c:v>
                </c:pt>
                <c:pt idx="199">
                  <c:v>43592</c:v>
                </c:pt>
                <c:pt idx="200">
                  <c:v>43593</c:v>
                </c:pt>
                <c:pt idx="201">
                  <c:v>43594</c:v>
                </c:pt>
                <c:pt idx="202">
                  <c:v>43595</c:v>
                </c:pt>
                <c:pt idx="203">
                  <c:v>43598</c:v>
                </c:pt>
                <c:pt idx="204">
                  <c:v>43599</c:v>
                </c:pt>
                <c:pt idx="205">
                  <c:v>43600</c:v>
                </c:pt>
                <c:pt idx="206">
                  <c:v>43601</c:v>
                </c:pt>
                <c:pt idx="207">
                  <c:v>43602</c:v>
                </c:pt>
                <c:pt idx="208">
                  <c:v>43605</c:v>
                </c:pt>
                <c:pt idx="209">
                  <c:v>43606</c:v>
                </c:pt>
                <c:pt idx="210">
                  <c:v>43607</c:v>
                </c:pt>
                <c:pt idx="211">
                  <c:v>43608</c:v>
                </c:pt>
                <c:pt idx="212">
                  <c:v>43609</c:v>
                </c:pt>
                <c:pt idx="213">
                  <c:v>43612</c:v>
                </c:pt>
                <c:pt idx="214">
                  <c:v>43613</c:v>
                </c:pt>
                <c:pt idx="215">
                  <c:v>43614</c:v>
                </c:pt>
                <c:pt idx="216">
                  <c:v>43615</c:v>
                </c:pt>
                <c:pt idx="217">
                  <c:v>43616</c:v>
                </c:pt>
                <c:pt idx="218">
                  <c:v>43619</c:v>
                </c:pt>
                <c:pt idx="219">
                  <c:v>43620</c:v>
                </c:pt>
                <c:pt idx="220">
                  <c:v>43621</c:v>
                </c:pt>
                <c:pt idx="221">
                  <c:v>43622</c:v>
                </c:pt>
                <c:pt idx="222">
                  <c:v>43623</c:v>
                </c:pt>
                <c:pt idx="223">
                  <c:v>43626</c:v>
                </c:pt>
                <c:pt idx="224">
                  <c:v>43627</c:v>
                </c:pt>
                <c:pt idx="225">
                  <c:v>43628</c:v>
                </c:pt>
                <c:pt idx="226">
                  <c:v>43629</c:v>
                </c:pt>
                <c:pt idx="227">
                  <c:v>43630</c:v>
                </c:pt>
                <c:pt idx="228">
                  <c:v>43633</c:v>
                </c:pt>
                <c:pt idx="229">
                  <c:v>43634</c:v>
                </c:pt>
                <c:pt idx="230">
                  <c:v>43635</c:v>
                </c:pt>
                <c:pt idx="231">
                  <c:v>43636</c:v>
                </c:pt>
                <c:pt idx="232">
                  <c:v>43637</c:v>
                </c:pt>
                <c:pt idx="233">
                  <c:v>43640</c:v>
                </c:pt>
                <c:pt idx="234">
                  <c:v>43641</c:v>
                </c:pt>
                <c:pt idx="235">
                  <c:v>43642</c:v>
                </c:pt>
                <c:pt idx="236">
                  <c:v>43643</c:v>
                </c:pt>
                <c:pt idx="237">
                  <c:v>43644</c:v>
                </c:pt>
                <c:pt idx="238">
                  <c:v>43647</c:v>
                </c:pt>
                <c:pt idx="239">
                  <c:v>43648</c:v>
                </c:pt>
                <c:pt idx="240">
                  <c:v>43649</c:v>
                </c:pt>
                <c:pt idx="241">
                  <c:v>43650</c:v>
                </c:pt>
                <c:pt idx="242">
                  <c:v>43651</c:v>
                </c:pt>
                <c:pt idx="243">
                  <c:v>43654</c:v>
                </c:pt>
                <c:pt idx="244">
                  <c:v>43655</c:v>
                </c:pt>
                <c:pt idx="245">
                  <c:v>43656</c:v>
                </c:pt>
                <c:pt idx="246">
                  <c:v>43657</c:v>
                </c:pt>
                <c:pt idx="247">
                  <c:v>43658</c:v>
                </c:pt>
                <c:pt idx="248">
                  <c:v>43661</c:v>
                </c:pt>
                <c:pt idx="249">
                  <c:v>43662</c:v>
                </c:pt>
                <c:pt idx="250">
                  <c:v>43663</c:v>
                </c:pt>
                <c:pt idx="251">
                  <c:v>43664</c:v>
                </c:pt>
                <c:pt idx="252">
                  <c:v>43665</c:v>
                </c:pt>
                <c:pt idx="253">
                  <c:v>43668</c:v>
                </c:pt>
                <c:pt idx="254">
                  <c:v>43669</c:v>
                </c:pt>
                <c:pt idx="255">
                  <c:v>43670</c:v>
                </c:pt>
                <c:pt idx="256">
                  <c:v>43671</c:v>
                </c:pt>
                <c:pt idx="257">
                  <c:v>43672</c:v>
                </c:pt>
                <c:pt idx="258">
                  <c:v>43675</c:v>
                </c:pt>
                <c:pt idx="259">
                  <c:v>43676</c:v>
                </c:pt>
                <c:pt idx="260">
                  <c:v>43677</c:v>
                </c:pt>
                <c:pt idx="261">
                  <c:v>43678</c:v>
                </c:pt>
                <c:pt idx="262">
                  <c:v>43679</c:v>
                </c:pt>
                <c:pt idx="263">
                  <c:v>43682</c:v>
                </c:pt>
                <c:pt idx="264">
                  <c:v>43683</c:v>
                </c:pt>
                <c:pt idx="265">
                  <c:v>43684</c:v>
                </c:pt>
                <c:pt idx="266">
                  <c:v>43685</c:v>
                </c:pt>
                <c:pt idx="267">
                  <c:v>43686</c:v>
                </c:pt>
                <c:pt idx="268">
                  <c:v>43689</c:v>
                </c:pt>
                <c:pt idx="269">
                  <c:v>43690</c:v>
                </c:pt>
                <c:pt idx="270">
                  <c:v>43691</c:v>
                </c:pt>
                <c:pt idx="271">
                  <c:v>43692</c:v>
                </c:pt>
                <c:pt idx="272">
                  <c:v>43693</c:v>
                </c:pt>
                <c:pt idx="273">
                  <c:v>43696</c:v>
                </c:pt>
                <c:pt idx="274">
                  <c:v>43697</c:v>
                </c:pt>
                <c:pt idx="275">
                  <c:v>43698</c:v>
                </c:pt>
                <c:pt idx="276">
                  <c:v>43699</c:v>
                </c:pt>
                <c:pt idx="277">
                  <c:v>43700</c:v>
                </c:pt>
                <c:pt idx="278">
                  <c:v>43703</c:v>
                </c:pt>
                <c:pt idx="279">
                  <c:v>43704</c:v>
                </c:pt>
                <c:pt idx="280">
                  <c:v>43705</c:v>
                </c:pt>
                <c:pt idx="281">
                  <c:v>43706</c:v>
                </c:pt>
                <c:pt idx="282">
                  <c:v>43707</c:v>
                </c:pt>
                <c:pt idx="283">
                  <c:v>43710</c:v>
                </c:pt>
                <c:pt idx="284">
                  <c:v>43711</c:v>
                </c:pt>
                <c:pt idx="285">
                  <c:v>43712</c:v>
                </c:pt>
                <c:pt idx="286">
                  <c:v>43713</c:v>
                </c:pt>
                <c:pt idx="287">
                  <c:v>43714</c:v>
                </c:pt>
                <c:pt idx="288">
                  <c:v>43717</c:v>
                </c:pt>
                <c:pt idx="289">
                  <c:v>43718</c:v>
                </c:pt>
                <c:pt idx="290">
                  <c:v>43719</c:v>
                </c:pt>
                <c:pt idx="291">
                  <c:v>43720</c:v>
                </c:pt>
                <c:pt idx="292">
                  <c:v>43721</c:v>
                </c:pt>
                <c:pt idx="293">
                  <c:v>43724</c:v>
                </c:pt>
                <c:pt idx="294">
                  <c:v>43725</c:v>
                </c:pt>
                <c:pt idx="295">
                  <c:v>43726</c:v>
                </c:pt>
                <c:pt idx="296">
                  <c:v>43727</c:v>
                </c:pt>
                <c:pt idx="297">
                  <c:v>43728</c:v>
                </c:pt>
                <c:pt idx="298">
                  <c:v>43731</c:v>
                </c:pt>
                <c:pt idx="299">
                  <c:v>43732</c:v>
                </c:pt>
                <c:pt idx="300">
                  <c:v>43733</c:v>
                </c:pt>
                <c:pt idx="301">
                  <c:v>43734</c:v>
                </c:pt>
                <c:pt idx="302">
                  <c:v>43735</c:v>
                </c:pt>
                <c:pt idx="303">
                  <c:v>43738</c:v>
                </c:pt>
              </c:numCache>
            </c:numRef>
          </c:cat>
          <c:val>
            <c:numRef>
              <c:f>'10 Year Bond Yield'!$I$1979:$I$2282</c:f>
              <c:numCache>
                <c:formatCode>0.00</c:formatCode>
                <c:ptCount val="304"/>
                <c:pt idx="0">
                  <c:v>11.291</c:v>
                </c:pt>
                <c:pt idx="1">
                  <c:v>11.314</c:v>
                </c:pt>
                <c:pt idx="2">
                  <c:v>11.159000000000001</c:v>
                </c:pt>
                <c:pt idx="3">
                  <c:v>11.15</c:v>
                </c:pt>
                <c:pt idx="4">
                  <c:v>11.237</c:v>
                </c:pt>
                <c:pt idx="5">
                  <c:v>11.413</c:v>
                </c:pt>
                <c:pt idx="6">
                  <c:v>11.571</c:v>
                </c:pt>
                <c:pt idx="7">
                  <c:v>11.847</c:v>
                </c:pt>
                <c:pt idx="8">
                  <c:v>11.827</c:v>
                </c:pt>
                <c:pt idx="9">
                  <c:v>11.696999999999999</c:v>
                </c:pt>
                <c:pt idx="10">
                  <c:v>11.634</c:v>
                </c:pt>
                <c:pt idx="11">
                  <c:v>11.734999999999999</c:v>
                </c:pt>
                <c:pt idx="12">
                  <c:v>11.867000000000001</c:v>
                </c:pt>
                <c:pt idx="13">
                  <c:v>11.958</c:v>
                </c:pt>
                <c:pt idx="14">
                  <c:v>12.398999999999999</c:v>
                </c:pt>
                <c:pt idx="15">
                  <c:v>12.106999999999999</c:v>
                </c:pt>
                <c:pt idx="16">
                  <c:v>12.262</c:v>
                </c:pt>
                <c:pt idx="17">
                  <c:v>12.084</c:v>
                </c:pt>
                <c:pt idx="18">
                  <c:v>12.007</c:v>
                </c:pt>
                <c:pt idx="19">
                  <c:v>12.098000000000001</c:v>
                </c:pt>
                <c:pt idx="20">
                  <c:v>12.102</c:v>
                </c:pt>
                <c:pt idx="21">
                  <c:v>12.362</c:v>
                </c:pt>
                <c:pt idx="22">
                  <c:v>12.196</c:v>
                </c:pt>
                <c:pt idx="23">
                  <c:v>12.352</c:v>
                </c:pt>
                <c:pt idx="24">
                  <c:v>12.526999999999999</c:v>
                </c:pt>
                <c:pt idx="25">
                  <c:v>12.596</c:v>
                </c:pt>
                <c:pt idx="26">
                  <c:v>12.157</c:v>
                </c:pt>
                <c:pt idx="27">
                  <c:v>12.157</c:v>
                </c:pt>
                <c:pt idx="28">
                  <c:v>12.281000000000001</c:v>
                </c:pt>
                <c:pt idx="29">
                  <c:v>12.46</c:v>
                </c:pt>
                <c:pt idx="30">
                  <c:v>12.43</c:v>
                </c:pt>
                <c:pt idx="31">
                  <c:v>12.457000000000001</c:v>
                </c:pt>
                <c:pt idx="32">
                  <c:v>12.4</c:v>
                </c:pt>
                <c:pt idx="33">
                  <c:v>12.278</c:v>
                </c:pt>
                <c:pt idx="34">
                  <c:v>12.279</c:v>
                </c:pt>
                <c:pt idx="35">
                  <c:v>12.127000000000001</c:v>
                </c:pt>
                <c:pt idx="36">
                  <c:v>12.055</c:v>
                </c:pt>
                <c:pt idx="37">
                  <c:v>11.778</c:v>
                </c:pt>
                <c:pt idx="38">
                  <c:v>11.835000000000001</c:v>
                </c:pt>
                <c:pt idx="39">
                  <c:v>11.840999999999999</c:v>
                </c:pt>
                <c:pt idx="40">
                  <c:v>11.714</c:v>
                </c:pt>
                <c:pt idx="41">
                  <c:v>11.618</c:v>
                </c:pt>
                <c:pt idx="42">
                  <c:v>11.755000000000001</c:v>
                </c:pt>
                <c:pt idx="43">
                  <c:v>11.595000000000001</c:v>
                </c:pt>
                <c:pt idx="44">
                  <c:v>11.432</c:v>
                </c:pt>
                <c:pt idx="45">
                  <c:v>11.32</c:v>
                </c:pt>
                <c:pt idx="46">
                  <c:v>11.196999999999999</c:v>
                </c:pt>
                <c:pt idx="47">
                  <c:v>11.342000000000001</c:v>
                </c:pt>
                <c:pt idx="48">
                  <c:v>10.84</c:v>
                </c:pt>
                <c:pt idx="49">
                  <c:v>10.726000000000001</c:v>
                </c:pt>
                <c:pt idx="50">
                  <c:v>10.837</c:v>
                </c:pt>
                <c:pt idx="51">
                  <c:v>10.829000000000001</c:v>
                </c:pt>
                <c:pt idx="52">
                  <c:v>10.829000000000001</c:v>
                </c:pt>
                <c:pt idx="53">
                  <c:v>10.566000000000001</c:v>
                </c:pt>
                <c:pt idx="54">
                  <c:v>10.345000000000001</c:v>
                </c:pt>
                <c:pt idx="55">
                  <c:v>10.211</c:v>
                </c:pt>
                <c:pt idx="56">
                  <c:v>10.452</c:v>
                </c:pt>
                <c:pt idx="57">
                  <c:v>10.326000000000001</c:v>
                </c:pt>
                <c:pt idx="58">
                  <c:v>10.217000000000001</c:v>
                </c:pt>
                <c:pt idx="59">
                  <c:v>10.276999999999999</c:v>
                </c:pt>
                <c:pt idx="60">
                  <c:v>10.435</c:v>
                </c:pt>
                <c:pt idx="61">
                  <c:v>10.526999999999999</c:v>
                </c:pt>
                <c:pt idx="62">
                  <c:v>10.209</c:v>
                </c:pt>
                <c:pt idx="63">
                  <c:v>10.348000000000001</c:v>
                </c:pt>
                <c:pt idx="64">
                  <c:v>10.119999999999999</c:v>
                </c:pt>
                <c:pt idx="65">
                  <c:v>10.210000000000001</c:v>
                </c:pt>
                <c:pt idx="66">
                  <c:v>10.11</c:v>
                </c:pt>
                <c:pt idx="67">
                  <c:v>10.11</c:v>
                </c:pt>
                <c:pt idx="68">
                  <c:v>10.125</c:v>
                </c:pt>
                <c:pt idx="69">
                  <c:v>10.247999999999999</c:v>
                </c:pt>
                <c:pt idx="70">
                  <c:v>10.24</c:v>
                </c:pt>
                <c:pt idx="71">
                  <c:v>10.455</c:v>
                </c:pt>
                <c:pt idx="72">
                  <c:v>10.4</c:v>
                </c:pt>
                <c:pt idx="73">
                  <c:v>10.474</c:v>
                </c:pt>
                <c:pt idx="74">
                  <c:v>10.537000000000001</c:v>
                </c:pt>
                <c:pt idx="75">
                  <c:v>10.403</c:v>
                </c:pt>
                <c:pt idx="76">
                  <c:v>10.403</c:v>
                </c:pt>
                <c:pt idx="77">
                  <c:v>10.116</c:v>
                </c:pt>
                <c:pt idx="78">
                  <c:v>10.118</c:v>
                </c:pt>
                <c:pt idx="79">
                  <c:v>10.130000000000001</c:v>
                </c:pt>
                <c:pt idx="80">
                  <c:v>10.058999999999999</c:v>
                </c:pt>
                <c:pt idx="81">
                  <c:v>9.99</c:v>
                </c:pt>
                <c:pt idx="82">
                  <c:v>9.9</c:v>
                </c:pt>
                <c:pt idx="83">
                  <c:v>10.154999999999999</c:v>
                </c:pt>
                <c:pt idx="84">
                  <c:v>10.1</c:v>
                </c:pt>
                <c:pt idx="85">
                  <c:v>10.090999999999999</c:v>
                </c:pt>
                <c:pt idx="86">
                  <c:v>10.009</c:v>
                </c:pt>
                <c:pt idx="87">
                  <c:v>9.8940000000000001</c:v>
                </c:pt>
                <c:pt idx="88">
                  <c:v>9.9589999999999996</c:v>
                </c:pt>
                <c:pt idx="89">
                  <c:v>10.058999999999999</c:v>
                </c:pt>
                <c:pt idx="90">
                  <c:v>10.118</c:v>
                </c:pt>
                <c:pt idx="91">
                  <c:v>10.016999999999999</c:v>
                </c:pt>
                <c:pt idx="92">
                  <c:v>10.052</c:v>
                </c:pt>
                <c:pt idx="93">
                  <c:v>10.170999999999999</c:v>
                </c:pt>
                <c:pt idx="94">
                  <c:v>10.135999999999999</c:v>
                </c:pt>
                <c:pt idx="95">
                  <c:v>10.013999999999999</c:v>
                </c:pt>
                <c:pt idx="96">
                  <c:v>9.8079999999999998</c:v>
                </c:pt>
                <c:pt idx="97">
                  <c:v>9.65</c:v>
                </c:pt>
                <c:pt idx="98">
                  <c:v>9.6449999999999996</c:v>
                </c:pt>
                <c:pt idx="99">
                  <c:v>9.7210000000000001</c:v>
                </c:pt>
                <c:pt idx="100">
                  <c:v>9.5709999999999997</c:v>
                </c:pt>
                <c:pt idx="101">
                  <c:v>9.4269999999999996</c:v>
                </c:pt>
                <c:pt idx="102">
                  <c:v>9.3780000000000001</c:v>
                </c:pt>
                <c:pt idx="103">
                  <c:v>9.3780000000000001</c:v>
                </c:pt>
                <c:pt idx="104">
                  <c:v>9.3780000000000001</c:v>
                </c:pt>
                <c:pt idx="105">
                  <c:v>9.3520000000000003</c:v>
                </c:pt>
                <c:pt idx="106">
                  <c:v>9.2899999999999991</c:v>
                </c:pt>
                <c:pt idx="107">
                  <c:v>9.2349999999999994</c:v>
                </c:pt>
                <c:pt idx="108">
                  <c:v>9.2349999999999994</c:v>
                </c:pt>
                <c:pt idx="109">
                  <c:v>9.2349999999999994</c:v>
                </c:pt>
                <c:pt idx="110">
                  <c:v>9.19</c:v>
                </c:pt>
                <c:pt idx="111">
                  <c:v>9.1630000000000003</c:v>
                </c:pt>
                <c:pt idx="112">
                  <c:v>9.1170000000000009</c:v>
                </c:pt>
                <c:pt idx="113">
                  <c:v>9.1750000000000007</c:v>
                </c:pt>
                <c:pt idx="114">
                  <c:v>9.141</c:v>
                </c:pt>
                <c:pt idx="115">
                  <c:v>9.1080000000000005</c:v>
                </c:pt>
                <c:pt idx="116">
                  <c:v>9.2409999999999997</c:v>
                </c:pt>
                <c:pt idx="117">
                  <c:v>9.1859999999999999</c:v>
                </c:pt>
                <c:pt idx="118">
                  <c:v>9.1159999999999997</c:v>
                </c:pt>
                <c:pt idx="119">
                  <c:v>9.2430000000000003</c:v>
                </c:pt>
                <c:pt idx="120">
                  <c:v>9.24</c:v>
                </c:pt>
                <c:pt idx="121">
                  <c:v>9.1649999999999991</c:v>
                </c:pt>
                <c:pt idx="122">
                  <c:v>9.08</c:v>
                </c:pt>
                <c:pt idx="123">
                  <c:v>9.0519999999999996</c:v>
                </c:pt>
                <c:pt idx="124">
                  <c:v>9.1050000000000004</c:v>
                </c:pt>
                <c:pt idx="125">
                  <c:v>8.9480000000000004</c:v>
                </c:pt>
                <c:pt idx="126">
                  <c:v>9.0830000000000002</c:v>
                </c:pt>
                <c:pt idx="127">
                  <c:v>9.0830000000000002</c:v>
                </c:pt>
                <c:pt idx="128">
                  <c:v>9.109</c:v>
                </c:pt>
                <c:pt idx="129">
                  <c:v>9.0180000000000007</c:v>
                </c:pt>
                <c:pt idx="130">
                  <c:v>9.0370000000000008</c:v>
                </c:pt>
                <c:pt idx="131">
                  <c:v>8.859</c:v>
                </c:pt>
                <c:pt idx="132">
                  <c:v>8.6950000000000003</c:v>
                </c:pt>
                <c:pt idx="133">
                  <c:v>8.7650000000000006</c:v>
                </c:pt>
                <c:pt idx="134">
                  <c:v>8.8040000000000003</c:v>
                </c:pt>
                <c:pt idx="135">
                  <c:v>8.9220000000000006</c:v>
                </c:pt>
                <c:pt idx="136">
                  <c:v>8.9909999999999997</c:v>
                </c:pt>
                <c:pt idx="137">
                  <c:v>9.0350000000000001</c:v>
                </c:pt>
                <c:pt idx="138">
                  <c:v>9.0359999999999996</c:v>
                </c:pt>
                <c:pt idx="139">
                  <c:v>8.9610000000000003</c:v>
                </c:pt>
                <c:pt idx="140">
                  <c:v>8.9420000000000002</c:v>
                </c:pt>
                <c:pt idx="141">
                  <c:v>8.7899999999999991</c:v>
                </c:pt>
                <c:pt idx="142">
                  <c:v>8.7810000000000006</c:v>
                </c:pt>
                <c:pt idx="143">
                  <c:v>8.9130000000000003</c:v>
                </c:pt>
                <c:pt idx="144">
                  <c:v>8.8740000000000006</c:v>
                </c:pt>
                <c:pt idx="145">
                  <c:v>8.9629999999999992</c:v>
                </c:pt>
                <c:pt idx="146">
                  <c:v>8.9879999999999995</c:v>
                </c:pt>
                <c:pt idx="147">
                  <c:v>8.9469999999999992</c:v>
                </c:pt>
                <c:pt idx="148">
                  <c:v>8.9749999999999996</c:v>
                </c:pt>
                <c:pt idx="149">
                  <c:v>8.99</c:v>
                </c:pt>
                <c:pt idx="150">
                  <c:v>8.952</c:v>
                </c:pt>
                <c:pt idx="151">
                  <c:v>9.0030000000000001</c:v>
                </c:pt>
                <c:pt idx="152">
                  <c:v>9.0449999999999999</c:v>
                </c:pt>
                <c:pt idx="153">
                  <c:v>9.0449999999999999</c:v>
                </c:pt>
                <c:pt idx="154">
                  <c:v>9.0449999999999999</c:v>
                </c:pt>
                <c:pt idx="155">
                  <c:v>9.0779999999999994</c:v>
                </c:pt>
                <c:pt idx="156">
                  <c:v>9.0419999999999998</c:v>
                </c:pt>
                <c:pt idx="157">
                  <c:v>9</c:v>
                </c:pt>
                <c:pt idx="158">
                  <c:v>8.8780000000000001</c:v>
                </c:pt>
                <c:pt idx="159">
                  <c:v>8.8019999999999996</c:v>
                </c:pt>
                <c:pt idx="160">
                  <c:v>8.7349999999999994</c:v>
                </c:pt>
                <c:pt idx="161">
                  <c:v>8.8350000000000009</c:v>
                </c:pt>
                <c:pt idx="162">
                  <c:v>8.8260000000000005</c:v>
                </c:pt>
                <c:pt idx="163">
                  <c:v>8.7959999999999994</c:v>
                </c:pt>
                <c:pt idx="164">
                  <c:v>8.8070000000000004</c:v>
                </c:pt>
                <c:pt idx="165">
                  <c:v>8.7059999999999995</c:v>
                </c:pt>
                <c:pt idx="166">
                  <c:v>8.7620000000000005</c:v>
                </c:pt>
                <c:pt idx="167">
                  <c:v>9.1289999999999996</c:v>
                </c:pt>
                <c:pt idx="168">
                  <c:v>8.9730000000000008</c:v>
                </c:pt>
                <c:pt idx="169">
                  <c:v>9.0500000000000007</c:v>
                </c:pt>
                <c:pt idx="170">
                  <c:v>9.3420000000000005</c:v>
                </c:pt>
                <c:pt idx="171">
                  <c:v>8.9019999999999992</c:v>
                </c:pt>
                <c:pt idx="172">
                  <c:v>8.9649999999999999</c:v>
                </c:pt>
                <c:pt idx="173">
                  <c:v>8.8290000000000006</c:v>
                </c:pt>
                <c:pt idx="174">
                  <c:v>8.8849999999999998</c:v>
                </c:pt>
                <c:pt idx="175">
                  <c:v>8.9890000000000008</c:v>
                </c:pt>
                <c:pt idx="176">
                  <c:v>8.8840000000000003</c:v>
                </c:pt>
                <c:pt idx="177">
                  <c:v>8.9130000000000003</c:v>
                </c:pt>
                <c:pt idx="178">
                  <c:v>8.9459999999999997</c:v>
                </c:pt>
                <c:pt idx="179">
                  <c:v>8.9670000000000005</c:v>
                </c:pt>
                <c:pt idx="180">
                  <c:v>8.9149999999999991</c:v>
                </c:pt>
                <c:pt idx="181">
                  <c:v>8.9049999999999994</c:v>
                </c:pt>
                <c:pt idx="182">
                  <c:v>8.9710000000000001</c:v>
                </c:pt>
                <c:pt idx="183">
                  <c:v>8.9060000000000006</c:v>
                </c:pt>
                <c:pt idx="184">
                  <c:v>8.9710000000000001</c:v>
                </c:pt>
                <c:pt idx="185">
                  <c:v>9.0039999999999996</c:v>
                </c:pt>
                <c:pt idx="186">
                  <c:v>8.9649999999999999</c:v>
                </c:pt>
                <c:pt idx="187">
                  <c:v>8.9649999999999999</c:v>
                </c:pt>
                <c:pt idx="188">
                  <c:v>8.9770000000000003</c:v>
                </c:pt>
                <c:pt idx="189">
                  <c:v>8.8520000000000003</c:v>
                </c:pt>
                <c:pt idx="190">
                  <c:v>8.9760000000000009</c:v>
                </c:pt>
                <c:pt idx="191">
                  <c:v>8.952</c:v>
                </c:pt>
                <c:pt idx="192">
                  <c:v>8.9600000000000009</c:v>
                </c:pt>
                <c:pt idx="193">
                  <c:v>8.9969999999999999</c:v>
                </c:pt>
                <c:pt idx="194">
                  <c:v>8.9779999999999998</c:v>
                </c:pt>
                <c:pt idx="195">
                  <c:v>8.9779999999999998</c:v>
                </c:pt>
                <c:pt idx="196">
                  <c:v>8.9610000000000003</c:v>
                </c:pt>
                <c:pt idx="197">
                  <c:v>8.8829999999999991</c:v>
                </c:pt>
                <c:pt idx="198">
                  <c:v>8.8770000000000007</c:v>
                </c:pt>
                <c:pt idx="199">
                  <c:v>8.8620000000000001</c:v>
                </c:pt>
                <c:pt idx="200">
                  <c:v>8.8160000000000007</c:v>
                </c:pt>
                <c:pt idx="201">
                  <c:v>8.7910000000000004</c:v>
                </c:pt>
                <c:pt idx="202">
                  <c:v>8.7720000000000002</c:v>
                </c:pt>
                <c:pt idx="203">
                  <c:v>8.8719999999999999</c:v>
                </c:pt>
                <c:pt idx="204">
                  <c:v>8.7899999999999991</c:v>
                </c:pt>
                <c:pt idx="205">
                  <c:v>8.8670000000000009</c:v>
                </c:pt>
                <c:pt idx="206">
                  <c:v>8.9890000000000008</c:v>
                </c:pt>
                <c:pt idx="207">
                  <c:v>9.0960000000000001</c:v>
                </c:pt>
                <c:pt idx="208">
                  <c:v>8.9809999999999999</c:v>
                </c:pt>
                <c:pt idx="209">
                  <c:v>8.7929999999999993</c:v>
                </c:pt>
                <c:pt idx="210">
                  <c:v>8.8580000000000005</c:v>
                </c:pt>
                <c:pt idx="211">
                  <c:v>8.8040000000000003</c:v>
                </c:pt>
                <c:pt idx="212">
                  <c:v>8.85</c:v>
                </c:pt>
                <c:pt idx="213">
                  <c:v>8.7970000000000006</c:v>
                </c:pt>
                <c:pt idx="214">
                  <c:v>8.6440000000000001</c:v>
                </c:pt>
                <c:pt idx="215">
                  <c:v>8.5190000000000001</c:v>
                </c:pt>
                <c:pt idx="216">
                  <c:v>8.4269999999999996</c:v>
                </c:pt>
                <c:pt idx="217">
                  <c:v>8.452</c:v>
                </c:pt>
                <c:pt idx="218">
                  <c:v>8.2029999999999994</c:v>
                </c:pt>
                <c:pt idx="219">
                  <c:v>8.1959999999999997</c:v>
                </c:pt>
                <c:pt idx="220">
                  <c:v>8.2759999999999998</c:v>
                </c:pt>
                <c:pt idx="221">
                  <c:v>8.2200000000000006</c:v>
                </c:pt>
                <c:pt idx="222">
                  <c:v>8.1120000000000001</c:v>
                </c:pt>
                <c:pt idx="223">
                  <c:v>8.1590000000000007</c:v>
                </c:pt>
                <c:pt idx="224">
                  <c:v>7.9809999999999999</c:v>
                </c:pt>
                <c:pt idx="225">
                  <c:v>8.0039999999999996</c:v>
                </c:pt>
                <c:pt idx="226">
                  <c:v>7.8860000000000001</c:v>
                </c:pt>
                <c:pt idx="227">
                  <c:v>7.899</c:v>
                </c:pt>
                <c:pt idx="228">
                  <c:v>7.9489999999999998</c:v>
                </c:pt>
                <c:pt idx="229">
                  <c:v>7.9390000000000001</c:v>
                </c:pt>
                <c:pt idx="230">
                  <c:v>7.827</c:v>
                </c:pt>
                <c:pt idx="231">
                  <c:v>7.827</c:v>
                </c:pt>
                <c:pt idx="232">
                  <c:v>7.6669999999999998</c:v>
                </c:pt>
                <c:pt idx="233">
                  <c:v>7.6619999999999999</c:v>
                </c:pt>
                <c:pt idx="234">
                  <c:v>7.702</c:v>
                </c:pt>
                <c:pt idx="235">
                  <c:v>7.6020000000000003</c:v>
                </c:pt>
                <c:pt idx="236">
                  <c:v>7.5759999999999996</c:v>
                </c:pt>
                <c:pt idx="237">
                  <c:v>7.452</c:v>
                </c:pt>
                <c:pt idx="238">
                  <c:v>7.2839999999999998</c:v>
                </c:pt>
                <c:pt idx="239">
                  <c:v>7.3280000000000003</c:v>
                </c:pt>
                <c:pt idx="240">
                  <c:v>7.3250000000000002</c:v>
                </c:pt>
                <c:pt idx="241">
                  <c:v>7.2850000000000001</c:v>
                </c:pt>
                <c:pt idx="242">
                  <c:v>7.3769999999999998</c:v>
                </c:pt>
                <c:pt idx="243">
                  <c:v>7.2830000000000004</c:v>
                </c:pt>
                <c:pt idx="244">
                  <c:v>7.2830000000000004</c:v>
                </c:pt>
                <c:pt idx="245">
                  <c:v>7.21</c:v>
                </c:pt>
                <c:pt idx="246">
                  <c:v>7.1909999999999998</c:v>
                </c:pt>
                <c:pt idx="247">
                  <c:v>7.274</c:v>
                </c:pt>
                <c:pt idx="248">
                  <c:v>7.2409999999999997</c:v>
                </c:pt>
                <c:pt idx="249">
                  <c:v>7.3209999999999997</c:v>
                </c:pt>
                <c:pt idx="250">
                  <c:v>7.3</c:v>
                </c:pt>
                <c:pt idx="251">
                  <c:v>7.274</c:v>
                </c:pt>
                <c:pt idx="252">
                  <c:v>7.3140000000000001</c:v>
                </c:pt>
                <c:pt idx="253">
                  <c:v>7.3040000000000003</c:v>
                </c:pt>
                <c:pt idx="254">
                  <c:v>7.2149999999999999</c:v>
                </c:pt>
                <c:pt idx="255">
                  <c:v>7.181</c:v>
                </c:pt>
                <c:pt idx="256">
                  <c:v>7.2480000000000002</c:v>
                </c:pt>
                <c:pt idx="257">
                  <c:v>7.2220000000000004</c:v>
                </c:pt>
                <c:pt idx="258">
                  <c:v>7.2160000000000002</c:v>
                </c:pt>
                <c:pt idx="259">
                  <c:v>7.1980000000000004</c:v>
                </c:pt>
                <c:pt idx="260">
                  <c:v>7.2290000000000001</c:v>
                </c:pt>
                <c:pt idx="261">
                  <c:v>7.266</c:v>
                </c:pt>
                <c:pt idx="262" formatCode="General">
                  <c:v>7.23</c:v>
                </c:pt>
                <c:pt idx="263" formatCode="General">
                  <c:v>7.367</c:v>
                </c:pt>
                <c:pt idx="264" formatCode="General">
                  <c:v>7.2720000000000002</c:v>
                </c:pt>
                <c:pt idx="265" formatCode="General">
                  <c:v>7.1790000000000003</c:v>
                </c:pt>
                <c:pt idx="266" formatCode="General">
                  <c:v>7.15</c:v>
                </c:pt>
                <c:pt idx="267" formatCode="General">
                  <c:v>7.149</c:v>
                </c:pt>
                <c:pt idx="268" formatCode="General">
                  <c:v>7.1890000000000001</c:v>
                </c:pt>
                <c:pt idx="269" formatCode="General">
                  <c:v>7.1890000000000001</c:v>
                </c:pt>
                <c:pt idx="270" formatCode="General">
                  <c:v>7.258</c:v>
                </c:pt>
                <c:pt idx="271" formatCode="General">
                  <c:v>7.2370000000000001</c:v>
                </c:pt>
                <c:pt idx="272" formatCode="General">
                  <c:v>7.17</c:v>
                </c:pt>
                <c:pt idx="273" formatCode="General">
                  <c:v>7.2679999999999998</c:v>
                </c:pt>
                <c:pt idx="274" formatCode="General">
                  <c:v>7.2939999999999996</c:v>
                </c:pt>
                <c:pt idx="275" formatCode="General">
                  <c:v>7.2050000000000001</c:v>
                </c:pt>
                <c:pt idx="276" formatCode="General">
                  <c:v>7.2350000000000003</c:v>
                </c:pt>
                <c:pt idx="277" formatCode="General">
                  <c:v>7.2489999999999997</c:v>
                </c:pt>
                <c:pt idx="278" formatCode="General">
                  <c:v>7.367</c:v>
                </c:pt>
                <c:pt idx="279" formatCode="General">
                  <c:v>7.4059999999999997</c:v>
                </c:pt>
                <c:pt idx="280" formatCode="General">
                  <c:v>7.5839999999999996</c:v>
                </c:pt>
                <c:pt idx="281" formatCode="General">
                  <c:v>7.5330000000000004</c:v>
                </c:pt>
                <c:pt idx="282" formatCode="General">
                  <c:v>7.43</c:v>
                </c:pt>
                <c:pt idx="283" formatCode="General">
                  <c:v>7.4610000000000003</c:v>
                </c:pt>
                <c:pt idx="284" formatCode="General">
                  <c:v>7.3609999999999998</c:v>
                </c:pt>
                <c:pt idx="285" formatCode="General">
                  <c:v>7.2859999999999996</c:v>
                </c:pt>
                <c:pt idx="286" formatCode="General">
                  <c:v>7.3029999999999999</c:v>
                </c:pt>
                <c:pt idx="287" formatCode="General">
                  <c:v>7.3129999999999997</c:v>
                </c:pt>
                <c:pt idx="288" formatCode="General">
                  <c:v>7.33</c:v>
                </c:pt>
                <c:pt idx="289" formatCode="General">
                  <c:v>7.3179999999999996</c:v>
                </c:pt>
                <c:pt idx="290" formatCode="General">
                  <c:v>7.3179999999999996</c:v>
                </c:pt>
                <c:pt idx="291" formatCode="General">
                  <c:v>7.2969999999999997</c:v>
                </c:pt>
                <c:pt idx="292" formatCode="General">
                  <c:v>7.3680000000000003</c:v>
                </c:pt>
                <c:pt idx="293" formatCode="General">
                  <c:v>7.2910000000000004</c:v>
                </c:pt>
                <c:pt idx="294" formatCode="General">
                  <c:v>7.1829999999999998</c:v>
                </c:pt>
                <c:pt idx="295" formatCode="General">
                  <c:v>7.1609999999999996</c:v>
                </c:pt>
                <c:pt idx="296" formatCode="General">
                  <c:v>7.1669999999999998</c:v>
                </c:pt>
                <c:pt idx="297" formatCode="General">
                  <c:v>7.0519999999999996</c:v>
                </c:pt>
                <c:pt idx="298" formatCode="General">
                  <c:v>7.11</c:v>
                </c:pt>
                <c:pt idx="299" formatCode="General">
                  <c:v>7.1539999999999999</c:v>
                </c:pt>
                <c:pt idx="300" formatCode="General">
                  <c:v>7.0880000000000001</c:v>
                </c:pt>
                <c:pt idx="301" formatCode="General">
                  <c:v>7.0570000000000004</c:v>
                </c:pt>
                <c:pt idx="302" formatCode="General">
                  <c:v>7.0410000000000004</c:v>
                </c:pt>
                <c:pt idx="303" formatCode="General">
                  <c:v>7.0469999999999997</c:v>
                </c:pt>
              </c:numCache>
            </c:numRef>
          </c:val>
          <c:smooth val="0"/>
        </c:ser>
        <c:ser>
          <c:idx val="3"/>
          <c:order val="3"/>
          <c:tx>
            <c:strRef>
              <c:f>'10 Year Bond Yield'!$J$1</c:f>
              <c:strCache>
                <c:ptCount val="1"/>
                <c:pt idx="0">
                  <c:v>Russia</c:v>
                </c:pt>
              </c:strCache>
            </c:strRef>
          </c:tx>
          <c:spPr>
            <a:ln w="28575" cap="rnd">
              <a:solidFill>
                <a:schemeClr val="accent4"/>
              </a:solidFill>
              <a:round/>
            </a:ln>
            <a:effectLst/>
          </c:spPr>
          <c:marker>
            <c:symbol val="none"/>
          </c:marker>
          <c:cat>
            <c:numRef>
              <c:f>'10 Year Bond Yield'!$A$1979:$A$2282</c:f>
              <c:numCache>
                <c:formatCode>[$-409]mmm\-yy;@</c:formatCode>
                <c:ptCount val="304"/>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pt idx="66">
                  <c:v>43405</c:v>
                </c:pt>
                <c:pt idx="67">
                  <c:v>43406</c:v>
                </c:pt>
                <c:pt idx="68">
                  <c:v>43409</c:v>
                </c:pt>
                <c:pt idx="69">
                  <c:v>43410</c:v>
                </c:pt>
                <c:pt idx="70">
                  <c:v>43411</c:v>
                </c:pt>
                <c:pt idx="71">
                  <c:v>43412</c:v>
                </c:pt>
                <c:pt idx="72">
                  <c:v>43413</c:v>
                </c:pt>
                <c:pt idx="73">
                  <c:v>43416</c:v>
                </c:pt>
                <c:pt idx="74">
                  <c:v>43417</c:v>
                </c:pt>
                <c:pt idx="75">
                  <c:v>43418</c:v>
                </c:pt>
                <c:pt idx="76">
                  <c:v>43419</c:v>
                </c:pt>
                <c:pt idx="77">
                  <c:v>43420</c:v>
                </c:pt>
                <c:pt idx="78">
                  <c:v>43423</c:v>
                </c:pt>
                <c:pt idx="79">
                  <c:v>43424</c:v>
                </c:pt>
                <c:pt idx="80">
                  <c:v>43425</c:v>
                </c:pt>
                <c:pt idx="81">
                  <c:v>43426</c:v>
                </c:pt>
                <c:pt idx="82">
                  <c:v>43427</c:v>
                </c:pt>
                <c:pt idx="83">
                  <c:v>43430</c:v>
                </c:pt>
                <c:pt idx="84">
                  <c:v>43431</c:v>
                </c:pt>
                <c:pt idx="85">
                  <c:v>43432</c:v>
                </c:pt>
                <c:pt idx="86">
                  <c:v>43433</c:v>
                </c:pt>
                <c:pt idx="87">
                  <c:v>43434</c:v>
                </c:pt>
                <c:pt idx="88">
                  <c:v>43437</c:v>
                </c:pt>
                <c:pt idx="89">
                  <c:v>43438</c:v>
                </c:pt>
                <c:pt idx="90">
                  <c:v>43439</c:v>
                </c:pt>
                <c:pt idx="91">
                  <c:v>43440</c:v>
                </c:pt>
                <c:pt idx="92">
                  <c:v>43441</c:v>
                </c:pt>
                <c:pt idx="93">
                  <c:v>43444</c:v>
                </c:pt>
                <c:pt idx="94">
                  <c:v>43445</c:v>
                </c:pt>
                <c:pt idx="95">
                  <c:v>43446</c:v>
                </c:pt>
                <c:pt idx="96">
                  <c:v>43447</c:v>
                </c:pt>
                <c:pt idx="97">
                  <c:v>43448</c:v>
                </c:pt>
                <c:pt idx="98">
                  <c:v>43451</c:v>
                </c:pt>
                <c:pt idx="99">
                  <c:v>43452</c:v>
                </c:pt>
                <c:pt idx="100">
                  <c:v>43453</c:v>
                </c:pt>
                <c:pt idx="101">
                  <c:v>43454</c:v>
                </c:pt>
                <c:pt idx="102">
                  <c:v>43455</c:v>
                </c:pt>
                <c:pt idx="103">
                  <c:v>43458</c:v>
                </c:pt>
                <c:pt idx="104">
                  <c:v>43459</c:v>
                </c:pt>
                <c:pt idx="105">
                  <c:v>43460</c:v>
                </c:pt>
                <c:pt idx="106">
                  <c:v>43461</c:v>
                </c:pt>
                <c:pt idx="107">
                  <c:v>43462</c:v>
                </c:pt>
                <c:pt idx="108">
                  <c:v>43465</c:v>
                </c:pt>
                <c:pt idx="109">
                  <c:v>43466</c:v>
                </c:pt>
                <c:pt idx="110">
                  <c:v>43467</c:v>
                </c:pt>
                <c:pt idx="111">
                  <c:v>43468</c:v>
                </c:pt>
                <c:pt idx="112">
                  <c:v>43469</c:v>
                </c:pt>
                <c:pt idx="113">
                  <c:v>43472</c:v>
                </c:pt>
                <c:pt idx="114">
                  <c:v>43473</c:v>
                </c:pt>
                <c:pt idx="115">
                  <c:v>43474</c:v>
                </c:pt>
                <c:pt idx="116">
                  <c:v>43475</c:v>
                </c:pt>
                <c:pt idx="117">
                  <c:v>43476</c:v>
                </c:pt>
                <c:pt idx="118">
                  <c:v>43479</c:v>
                </c:pt>
                <c:pt idx="119">
                  <c:v>43480</c:v>
                </c:pt>
                <c:pt idx="120">
                  <c:v>43481</c:v>
                </c:pt>
                <c:pt idx="121">
                  <c:v>43482</c:v>
                </c:pt>
                <c:pt idx="122">
                  <c:v>43483</c:v>
                </c:pt>
                <c:pt idx="123">
                  <c:v>43486</c:v>
                </c:pt>
                <c:pt idx="124">
                  <c:v>43487</c:v>
                </c:pt>
                <c:pt idx="125">
                  <c:v>43488</c:v>
                </c:pt>
                <c:pt idx="126">
                  <c:v>43489</c:v>
                </c:pt>
                <c:pt idx="127">
                  <c:v>43490</c:v>
                </c:pt>
                <c:pt idx="128">
                  <c:v>43493</c:v>
                </c:pt>
                <c:pt idx="129">
                  <c:v>43494</c:v>
                </c:pt>
                <c:pt idx="130">
                  <c:v>43495</c:v>
                </c:pt>
                <c:pt idx="131">
                  <c:v>43496</c:v>
                </c:pt>
                <c:pt idx="132">
                  <c:v>43497</c:v>
                </c:pt>
                <c:pt idx="133">
                  <c:v>43500</c:v>
                </c:pt>
                <c:pt idx="134">
                  <c:v>43501</c:v>
                </c:pt>
                <c:pt idx="135">
                  <c:v>43502</c:v>
                </c:pt>
                <c:pt idx="136">
                  <c:v>43503</c:v>
                </c:pt>
                <c:pt idx="137">
                  <c:v>43504</c:v>
                </c:pt>
                <c:pt idx="138">
                  <c:v>43507</c:v>
                </c:pt>
                <c:pt idx="139">
                  <c:v>43508</c:v>
                </c:pt>
                <c:pt idx="140">
                  <c:v>43509</c:v>
                </c:pt>
                <c:pt idx="141">
                  <c:v>43510</c:v>
                </c:pt>
                <c:pt idx="142">
                  <c:v>43511</c:v>
                </c:pt>
                <c:pt idx="143">
                  <c:v>43514</c:v>
                </c:pt>
                <c:pt idx="144">
                  <c:v>43515</c:v>
                </c:pt>
                <c:pt idx="145">
                  <c:v>43516</c:v>
                </c:pt>
                <c:pt idx="146">
                  <c:v>43517</c:v>
                </c:pt>
                <c:pt idx="147">
                  <c:v>43518</c:v>
                </c:pt>
                <c:pt idx="148">
                  <c:v>43521</c:v>
                </c:pt>
                <c:pt idx="149">
                  <c:v>43522</c:v>
                </c:pt>
                <c:pt idx="150">
                  <c:v>43523</c:v>
                </c:pt>
                <c:pt idx="151">
                  <c:v>43524</c:v>
                </c:pt>
                <c:pt idx="152">
                  <c:v>43525</c:v>
                </c:pt>
                <c:pt idx="153">
                  <c:v>43528</c:v>
                </c:pt>
                <c:pt idx="154">
                  <c:v>43529</c:v>
                </c:pt>
                <c:pt idx="155">
                  <c:v>43530</c:v>
                </c:pt>
                <c:pt idx="156">
                  <c:v>43531</c:v>
                </c:pt>
                <c:pt idx="157">
                  <c:v>43532</c:v>
                </c:pt>
                <c:pt idx="158">
                  <c:v>43535</c:v>
                </c:pt>
                <c:pt idx="159">
                  <c:v>43536</c:v>
                </c:pt>
                <c:pt idx="160">
                  <c:v>43537</c:v>
                </c:pt>
                <c:pt idx="161">
                  <c:v>43538</c:v>
                </c:pt>
                <c:pt idx="162">
                  <c:v>43539</c:v>
                </c:pt>
                <c:pt idx="163">
                  <c:v>43542</c:v>
                </c:pt>
                <c:pt idx="164">
                  <c:v>43543</c:v>
                </c:pt>
                <c:pt idx="165">
                  <c:v>43544</c:v>
                </c:pt>
                <c:pt idx="166">
                  <c:v>43545</c:v>
                </c:pt>
                <c:pt idx="167">
                  <c:v>43546</c:v>
                </c:pt>
                <c:pt idx="168">
                  <c:v>43549</c:v>
                </c:pt>
                <c:pt idx="169">
                  <c:v>43550</c:v>
                </c:pt>
                <c:pt idx="170">
                  <c:v>43551</c:v>
                </c:pt>
                <c:pt idx="171">
                  <c:v>43552</c:v>
                </c:pt>
                <c:pt idx="172">
                  <c:v>43553</c:v>
                </c:pt>
                <c:pt idx="173">
                  <c:v>43556</c:v>
                </c:pt>
                <c:pt idx="174">
                  <c:v>43557</c:v>
                </c:pt>
                <c:pt idx="175">
                  <c:v>43558</c:v>
                </c:pt>
                <c:pt idx="176">
                  <c:v>43559</c:v>
                </c:pt>
                <c:pt idx="177">
                  <c:v>43560</c:v>
                </c:pt>
                <c:pt idx="178">
                  <c:v>43563</c:v>
                </c:pt>
                <c:pt idx="179">
                  <c:v>43564</c:v>
                </c:pt>
                <c:pt idx="180">
                  <c:v>43565</c:v>
                </c:pt>
                <c:pt idx="181">
                  <c:v>43566</c:v>
                </c:pt>
                <c:pt idx="182">
                  <c:v>43567</c:v>
                </c:pt>
                <c:pt idx="183">
                  <c:v>43570</c:v>
                </c:pt>
                <c:pt idx="184">
                  <c:v>43571</c:v>
                </c:pt>
                <c:pt idx="185">
                  <c:v>43572</c:v>
                </c:pt>
                <c:pt idx="186">
                  <c:v>43573</c:v>
                </c:pt>
                <c:pt idx="187">
                  <c:v>43574</c:v>
                </c:pt>
                <c:pt idx="188">
                  <c:v>43577</c:v>
                </c:pt>
                <c:pt idx="189">
                  <c:v>43578</c:v>
                </c:pt>
                <c:pt idx="190">
                  <c:v>43579</c:v>
                </c:pt>
                <c:pt idx="191">
                  <c:v>43580</c:v>
                </c:pt>
                <c:pt idx="192">
                  <c:v>43581</c:v>
                </c:pt>
                <c:pt idx="193">
                  <c:v>43584</c:v>
                </c:pt>
                <c:pt idx="194">
                  <c:v>43585</c:v>
                </c:pt>
                <c:pt idx="195">
                  <c:v>43586</c:v>
                </c:pt>
                <c:pt idx="196">
                  <c:v>43587</c:v>
                </c:pt>
                <c:pt idx="197">
                  <c:v>43588</c:v>
                </c:pt>
                <c:pt idx="198">
                  <c:v>43591</c:v>
                </c:pt>
                <c:pt idx="199">
                  <c:v>43592</c:v>
                </c:pt>
                <c:pt idx="200">
                  <c:v>43593</c:v>
                </c:pt>
                <c:pt idx="201">
                  <c:v>43594</c:v>
                </c:pt>
                <c:pt idx="202">
                  <c:v>43595</c:v>
                </c:pt>
                <c:pt idx="203">
                  <c:v>43598</c:v>
                </c:pt>
                <c:pt idx="204">
                  <c:v>43599</c:v>
                </c:pt>
                <c:pt idx="205">
                  <c:v>43600</c:v>
                </c:pt>
                <c:pt idx="206">
                  <c:v>43601</c:v>
                </c:pt>
                <c:pt idx="207">
                  <c:v>43602</c:v>
                </c:pt>
                <c:pt idx="208">
                  <c:v>43605</c:v>
                </c:pt>
                <c:pt idx="209">
                  <c:v>43606</c:v>
                </c:pt>
                <c:pt idx="210">
                  <c:v>43607</c:v>
                </c:pt>
                <c:pt idx="211">
                  <c:v>43608</c:v>
                </c:pt>
                <c:pt idx="212">
                  <c:v>43609</c:v>
                </c:pt>
                <c:pt idx="213">
                  <c:v>43612</c:v>
                </c:pt>
                <c:pt idx="214">
                  <c:v>43613</c:v>
                </c:pt>
                <c:pt idx="215">
                  <c:v>43614</c:v>
                </c:pt>
                <c:pt idx="216">
                  <c:v>43615</c:v>
                </c:pt>
                <c:pt idx="217">
                  <c:v>43616</c:v>
                </c:pt>
                <c:pt idx="218">
                  <c:v>43619</c:v>
                </c:pt>
                <c:pt idx="219">
                  <c:v>43620</c:v>
                </c:pt>
                <c:pt idx="220">
                  <c:v>43621</c:v>
                </c:pt>
                <c:pt idx="221">
                  <c:v>43622</c:v>
                </c:pt>
                <c:pt idx="222">
                  <c:v>43623</c:v>
                </c:pt>
                <c:pt idx="223">
                  <c:v>43626</c:v>
                </c:pt>
                <c:pt idx="224">
                  <c:v>43627</c:v>
                </c:pt>
                <c:pt idx="225">
                  <c:v>43628</c:v>
                </c:pt>
                <c:pt idx="226">
                  <c:v>43629</c:v>
                </c:pt>
                <c:pt idx="227">
                  <c:v>43630</c:v>
                </c:pt>
                <c:pt idx="228">
                  <c:v>43633</c:v>
                </c:pt>
                <c:pt idx="229">
                  <c:v>43634</c:v>
                </c:pt>
                <c:pt idx="230">
                  <c:v>43635</c:v>
                </c:pt>
                <c:pt idx="231">
                  <c:v>43636</c:v>
                </c:pt>
                <c:pt idx="232">
                  <c:v>43637</c:v>
                </c:pt>
                <c:pt idx="233">
                  <c:v>43640</c:v>
                </c:pt>
                <c:pt idx="234">
                  <c:v>43641</c:v>
                </c:pt>
                <c:pt idx="235">
                  <c:v>43642</c:v>
                </c:pt>
                <c:pt idx="236">
                  <c:v>43643</c:v>
                </c:pt>
                <c:pt idx="237">
                  <c:v>43644</c:v>
                </c:pt>
                <c:pt idx="238">
                  <c:v>43647</c:v>
                </c:pt>
                <c:pt idx="239">
                  <c:v>43648</c:v>
                </c:pt>
                <c:pt idx="240">
                  <c:v>43649</c:v>
                </c:pt>
                <c:pt idx="241">
                  <c:v>43650</c:v>
                </c:pt>
                <c:pt idx="242">
                  <c:v>43651</c:v>
                </c:pt>
                <c:pt idx="243">
                  <c:v>43654</c:v>
                </c:pt>
                <c:pt idx="244">
                  <c:v>43655</c:v>
                </c:pt>
                <c:pt idx="245">
                  <c:v>43656</c:v>
                </c:pt>
                <c:pt idx="246">
                  <c:v>43657</c:v>
                </c:pt>
                <c:pt idx="247">
                  <c:v>43658</c:v>
                </c:pt>
                <c:pt idx="248">
                  <c:v>43661</c:v>
                </c:pt>
                <c:pt idx="249">
                  <c:v>43662</c:v>
                </c:pt>
                <c:pt idx="250">
                  <c:v>43663</c:v>
                </c:pt>
                <c:pt idx="251">
                  <c:v>43664</c:v>
                </c:pt>
                <c:pt idx="252">
                  <c:v>43665</c:v>
                </c:pt>
                <c:pt idx="253">
                  <c:v>43668</c:v>
                </c:pt>
                <c:pt idx="254">
                  <c:v>43669</c:v>
                </c:pt>
                <c:pt idx="255">
                  <c:v>43670</c:v>
                </c:pt>
                <c:pt idx="256">
                  <c:v>43671</c:v>
                </c:pt>
                <c:pt idx="257">
                  <c:v>43672</c:v>
                </c:pt>
                <c:pt idx="258">
                  <c:v>43675</c:v>
                </c:pt>
                <c:pt idx="259">
                  <c:v>43676</c:v>
                </c:pt>
                <c:pt idx="260">
                  <c:v>43677</c:v>
                </c:pt>
                <c:pt idx="261">
                  <c:v>43678</c:v>
                </c:pt>
                <c:pt idx="262">
                  <c:v>43679</c:v>
                </c:pt>
                <c:pt idx="263">
                  <c:v>43682</c:v>
                </c:pt>
                <c:pt idx="264">
                  <c:v>43683</c:v>
                </c:pt>
                <c:pt idx="265">
                  <c:v>43684</c:v>
                </c:pt>
                <c:pt idx="266">
                  <c:v>43685</c:v>
                </c:pt>
                <c:pt idx="267">
                  <c:v>43686</c:v>
                </c:pt>
                <c:pt idx="268">
                  <c:v>43689</c:v>
                </c:pt>
                <c:pt idx="269">
                  <c:v>43690</c:v>
                </c:pt>
                <c:pt idx="270">
                  <c:v>43691</c:v>
                </c:pt>
                <c:pt idx="271">
                  <c:v>43692</c:v>
                </c:pt>
                <c:pt idx="272">
                  <c:v>43693</c:v>
                </c:pt>
                <c:pt idx="273">
                  <c:v>43696</c:v>
                </c:pt>
                <c:pt idx="274">
                  <c:v>43697</c:v>
                </c:pt>
                <c:pt idx="275">
                  <c:v>43698</c:v>
                </c:pt>
                <c:pt idx="276">
                  <c:v>43699</c:v>
                </c:pt>
                <c:pt idx="277">
                  <c:v>43700</c:v>
                </c:pt>
                <c:pt idx="278">
                  <c:v>43703</c:v>
                </c:pt>
                <c:pt idx="279">
                  <c:v>43704</c:v>
                </c:pt>
                <c:pt idx="280">
                  <c:v>43705</c:v>
                </c:pt>
                <c:pt idx="281">
                  <c:v>43706</c:v>
                </c:pt>
                <c:pt idx="282">
                  <c:v>43707</c:v>
                </c:pt>
                <c:pt idx="283">
                  <c:v>43710</c:v>
                </c:pt>
                <c:pt idx="284">
                  <c:v>43711</c:v>
                </c:pt>
                <c:pt idx="285">
                  <c:v>43712</c:v>
                </c:pt>
                <c:pt idx="286">
                  <c:v>43713</c:v>
                </c:pt>
                <c:pt idx="287">
                  <c:v>43714</c:v>
                </c:pt>
                <c:pt idx="288">
                  <c:v>43717</c:v>
                </c:pt>
                <c:pt idx="289">
                  <c:v>43718</c:v>
                </c:pt>
                <c:pt idx="290">
                  <c:v>43719</c:v>
                </c:pt>
                <c:pt idx="291">
                  <c:v>43720</c:v>
                </c:pt>
                <c:pt idx="292">
                  <c:v>43721</c:v>
                </c:pt>
                <c:pt idx="293">
                  <c:v>43724</c:v>
                </c:pt>
                <c:pt idx="294">
                  <c:v>43725</c:v>
                </c:pt>
                <c:pt idx="295">
                  <c:v>43726</c:v>
                </c:pt>
                <c:pt idx="296">
                  <c:v>43727</c:v>
                </c:pt>
                <c:pt idx="297">
                  <c:v>43728</c:v>
                </c:pt>
                <c:pt idx="298">
                  <c:v>43731</c:v>
                </c:pt>
                <c:pt idx="299">
                  <c:v>43732</c:v>
                </c:pt>
                <c:pt idx="300">
                  <c:v>43733</c:v>
                </c:pt>
                <c:pt idx="301">
                  <c:v>43734</c:v>
                </c:pt>
                <c:pt idx="302">
                  <c:v>43735</c:v>
                </c:pt>
                <c:pt idx="303">
                  <c:v>43738</c:v>
                </c:pt>
              </c:numCache>
            </c:numRef>
          </c:cat>
          <c:val>
            <c:numRef>
              <c:f>'10 Year Bond Yield'!$J$1979:$J$2282</c:f>
              <c:numCache>
                <c:formatCode>0.00</c:formatCode>
                <c:ptCount val="304"/>
                <c:pt idx="0">
                  <c:v>4.6849999999999996</c:v>
                </c:pt>
                <c:pt idx="1">
                  <c:v>4.7649999999999997</c:v>
                </c:pt>
                <c:pt idx="2">
                  <c:v>4.7409999999999997</c:v>
                </c:pt>
                <c:pt idx="3">
                  <c:v>4.7939999999999996</c:v>
                </c:pt>
                <c:pt idx="4">
                  <c:v>4.9180000000000001</c:v>
                </c:pt>
                <c:pt idx="5">
                  <c:v>5.0659999999999998</c:v>
                </c:pt>
                <c:pt idx="6">
                  <c:v>5.0919999999999996</c:v>
                </c:pt>
                <c:pt idx="7">
                  <c:v>5.1349999999999998</c:v>
                </c:pt>
                <c:pt idx="8">
                  <c:v>5.1619999999999999</c:v>
                </c:pt>
                <c:pt idx="9">
                  <c:v>5.0430000000000001</c:v>
                </c:pt>
                <c:pt idx="10">
                  <c:v>5.0599999999999996</c:v>
                </c:pt>
                <c:pt idx="11">
                  <c:v>5.0540000000000003</c:v>
                </c:pt>
                <c:pt idx="12">
                  <c:v>5.0419999999999998</c:v>
                </c:pt>
                <c:pt idx="13">
                  <c:v>5.0570000000000004</c:v>
                </c:pt>
                <c:pt idx="14">
                  <c:v>5.0720000000000001</c:v>
                </c:pt>
                <c:pt idx="15">
                  <c:v>5.04</c:v>
                </c:pt>
                <c:pt idx="16">
                  <c:v>5.0389999999999997</c:v>
                </c:pt>
                <c:pt idx="17">
                  <c:v>5.0129999999999999</c:v>
                </c:pt>
                <c:pt idx="18">
                  <c:v>5.0199999999999996</c:v>
                </c:pt>
                <c:pt idx="19">
                  <c:v>4.9710000000000001</c:v>
                </c:pt>
                <c:pt idx="20">
                  <c:v>4.97</c:v>
                </c:pt>
                <c:pt idx="21">
                  <c:v>4.96</c:v>
                </c:pt>
                <c:pt idx="22">
                  <c:v>4.9690000000000003</c:v>
                </c:pt>
                <c:pt idx="23">
                  <c:v>4.9690000000000003</c:v>
                </c:pt>
                <c:pt idx="24">
                  <c:v>5.0229999999999997</c:v>
                </c:pt>
                <c:pt idx="25">
                  <c:v>5.0359999999999996</c:v>
                </c:pt>
                <c:pt idx="26">
                  <c:v>5.0670000000000002</c:v>
                </c:pt>
                <c:pt idx="27">
                  <c:v>5.08</c:v>
                </c:pt>
                <c:pt idx="28">
                  <c:v>5.17</c:v>
                </c:pt>
                <c:pt idx="29">
                  <c:v>5.1059999999999999</c:v>
                </c:pt>
                <c:pt idx="30">
                  <c:v>5.077</c:v>
                </c:pt>
                <c:pt idx="31">
                  <c:v>5.0449999999999999</c:v>
                </c:pt>
                <c:pt idx="32">
                  <c:v>5.0229999999999997</c:v>
                </c:pt>
                <c:pt idx="33">
                  <c:v>5.056</c:v>
                </c:pt>
                <c:pt idx="34">
                  <c:v>5.085</c:v>
                </c:pt>
                <c:pt idx="35">
                  <c:v>5.1260000000000003</c:v>
                </c:pt>
                <c:pt idx="36">
                  <c:v>5.0659999999999998</c:v>
                </c:pt>
                <c:pt idx="37">
                  <c:v>5.0620000000000003</c:v>
                </c:pt>
                <c:pt idx="38">
                  <c:v>5.0490000000000004</c:v>
                </c:pt>
                <c:pt idx="39">
                  <c:v>5.0359999999999996</c:v>
                </c:pt>
                <c:pt idx="40">
                  <c:v>4.9939999999999998</c:v>
                </c:pt>
                <c:pt idx="41">
                  <c:v>4.9370000000000003</c:v>
                </c:pt>
                <c:pt idx="42">
                  <c:v>4.8840000000000003</c:v>
                </c:pt>
                <c:pt idx="43">
                  <c:v>4.875</c:v>
                </c:pt>
                <c:pt idx="44">
                  <c:v>4.9020000000000001</c:v>
                </c:pt>
                <c:pt idx="45">
                  <c:v>4.9080000000000004</c:v>
                </c:pt>
                <c:pt idx="46">
                  <c:v>5.0389999999999997</c:v>
                </c:pt>
                <c:pt idx="47">
                  <c:v>5.0599999999999996</c:v>
                </c:pt>
                <c:pt idx="48">
                  <c:v>5.0599999999999996</c:v>
                </c:pt>
                <c:pt idx="49">
                  <c:v>5.1070000000000002</c:v>
                </c:pt>
                <c:pt idx="50">
                  <c:v>5.1020000000000003</c:v>
                </c:pt>
                <c:pt idx="51">
                  <c:v>5.117</c:v>
                </c:pt>
                <c:pt idx="52">
                  <c:v>5.0730000000000004</c:v>
                </c:pt>
                <c:pt idx="53">
                  <c:v>5.0430000000000001</c:v>
                </c:pt>
                <c:pt idx="54">
                  <c:v>5.0270000000000001</c:v>
                </c:pt>
                <c:pt idx="55">
                  <c:v>5.0460000000000003</c:v>
                </c:pt>
                <c:pt idx="56">
                  <c:v>5.0709999999999997</c:v>
                </c:pt>
                <c:pt idx="57">
                  <c:v>5.0650000000000004</c:v>
                </c:pt>
                <c:pt idx="58">
                  <c:v>5.0540000000000003</c:v>
                </c:pt>
                <c:pt idx="59">
                  <c:v>5.0750000000000002</c:v>
                </c:pt>
                <c:pt idx="60">
                  <c:v>5.0220000000000002</c:v>
                </c:pt>
                <c:pt idx="61">
                  <c:v>5.0380000000000003</c:v>
                </c:pt>
                <c:pt idx="62">
                  <c:v>5.0350000000000001</c:v>
                </c:pt>
                <c:pt idx="63">
                  <c:v>5.03</c:v>
                </c:pt>
                <c:pt idx="64">
                  <c:v>5.032</c:v>
                </c:pt>
                <c:pt idx="65">
                  <c:v>5.0510000000000002</c:v>
                </c:pt>
                <c:pt idx="66">
                  <c:v>5.0510000000000002</c:v>
                </c:pt>
                <c:pt idx="67">
                  <c:v>5.0620000000000003</c:v>
                </c:pt>
                <c:pt idx="68">
                  <c:v>5.0620000000000003</c:v>
                </c:pt>
                <c:pt idx="69">
                  <c:v>5.0940000000000003</c:v>
                </c:pt>
                <c:pt idx="70">
                  <c:v>5.1070000000000002</c:v>
                </c:pt>
                <c:pt idx="71">
                  <c:v>5.165</c:v>
                </c:pt>
                <c:pt idx="72">
                  <c:v>5.218</c:v>
                </c:pt>
                <c:pt idx="73">
                  <c:v>5.218</c:v>
                </c:pt>
                <c:pt idx="74">
                  <c:v>5.2210000000000001</c:v>
                </c:pt>
                <c:pt idx="75">
                  <c:v>5.1870000000000003</c:v>
                </c:pt>
                <c:pt idx="76">
                  <c:v>5.1719999999999997</c:v>
                </c:pt>
                <c:pt idx="77">
                  <c:v>5.1849999999999996</c:v>
                </c:pt>
                <c:pt idx="78">
                  <c:v>5.18</c:v>
                </c:pt>
                <c:pt idx="79">
                  <c:v>5.24</c:v>
                </c:pt>
                <c:pt idx="80">
                  <c:v>5.2130000000000001</c:v>
                </c:pt>
                <c:pt idx="81">
                  <c:v>5.2130000000000001</c:v>
                </c:pt>
                <c:pt idx="82">
                  <c:v>5.218</c:v>
                </c:pt>
                <c:pt idx="83">
                  <c:v>5.3259999999999996</c:v>
                </c:pt>
                <c:pt idx="84">
                  <c:v>5.33</c:v>
                </c:pt>
                <c:pt idx="85">
                  <c:v>5.3209999999999997</c:v>
                </c:pt>
                <c:pt idx="86">
                  <c:v>5.2329999999999997</c:v>
                </c:pt>
                <c:pt idx="87">
                  <c:v>5.234</c:v>
                </c:pt>
                <c:pt idx="88">
                  <c:v>5.1669999999999998</c:v>
                </c:pt>
                <c:pt idx="89">
                  <c:v>5.1360000000000001</c:v>
                </c:pt>
                <c:pt idx="90">
                  <c:v>5.1360000000000001</c:v>
                </c:pt>
                <c:pt idx="91">
                  <c:v>5.173</c:v>
                </c:pt>
                <c:pt idx="92">
                  <c:v>5.1189999999999998</c:v>
                </c:pt>
                <c:pt idx="93">
                  <c:v>5.1239999999999997</c:v>
                </c:pt>
                <c:pt idx="94">
                  <c:v>5.1219999999999999</c:v>
                </c:pt>
                <c:pt idx="95">
                  <c:v>5.12</c:v>
                </c:pt>
                <c:pt idx="96">
                  <c:v>5.109</c:v>
                </c:pt>
                <c:pt idx="97">
                  <c:v>5.0940000000000003</c:v>
                </c:pt>
                <c:pt idx="98">
                  <c:v>5.0810000000000004</c:v>
                </c:pt>
                <c:pt idx="99">
                  <c:v>5.0810000000000004</c:v>
                </c:pt>
                <c:pt idx="100">
                  <c:v>5.0739999999999998</c:v>
                </c:pt>
                <c:pt idx="101">
                  <c:v>5.0350000000000001</c:v>
                </c:pt>
                <c:pt idx="102">
                  <c:v>5.0579999999999998</c:v>
                </c:pt>
                <c:pt idx="103">
                  <c:v>5.048</c:v>
                </c:pt>
                <c:pt idx="104">
                  <c:v>5.048</c:v>
                </c:pt>
                <c:pt idx="105">
                  <c:v>5.0549999999999997</c:v>
                </c:pt>
                <c:pt idx="106">
                  <c:v>5.0510000000000002</c:v>
                </c:pt>
                <c:pt idx="107">
                  <c:v>5.0469999999999997</c:v>
                </c:pt>
                <c:pt idx="108">
                  <c:v>5.0469999999999997</c:v>
                </c:pt>
                <c:pt idx="109">
                  <c:v>5.0469999999999997</c:v>
                </c:pt>
                <c:pt idx="110">
                  <c:v>5.0469999999999997</c:v>
                </c:pt>
                <c:pt idx="111">
                  <c:v>5.0469999999999997</c:v>
                </c:pt>
                <c:pt idx="112">
                  <c:v>5.0469999999999997</c:v>
                </c:pt>
                <c:pt idx="113">
                  <c:v>5.0469999999999997</c:v>
                </c:pt>
                <c:pt idx="114">
                  <c:v>5.0469999999999997</c:v>
                </c:pt>
                <c:pt idx="115">
                  <c:v>4.7720000000000002</c:v>
                </c:pt>
                <c:pt idx="116">
                  <c:v>4.7880000000000003</c:v>
                </c:pt>
                <c:pt idx="117">
                  <c:v>4.774</c:v>
                </c:pt>
                <c:pt idx="118">
                  <c:v>4.782</c:v>
                </c:pt>
                <c:pt idx="119">
                  <c:v>4.7619999999999996</c:v>
                </c:pt>
                <c:pt idx="120">
                  <c:v>4.726</c:v>
                </c:pt>
                <c:pt idx="121">
                  <c:v>4.734</c:v>
                </c:pt>
                <c:pt idx="122">
                  <c:v>4.7169999999999996</c:v>
                </c:pt>
                <c:pt idx="123">
                  <c:v>4.7169999999999996</c:v>
                </c:pt>
                <c:pt idx="124">
                  <c:v>4.7229999999999999</c:v>
                </c:pt>
                <c:pt idx="125">
                  <c:v>4.7169999999999996</c:v>
                </c:pt>
                <c:pt idx="126">
                  <c:v>4.7</c:v>
                </c:pt>
                <c:pt idx="127">
                  <c:v>4.7039999999999997</c:v>
                </c:pt>
                <c:pt idx="128">
                  <c:v>4.7320000000000002</c:v>
                </c:pt>
                <c:pt idx="129">
                  <c:v>4.74</c:v>
                </c:pt>
                <c:pt idx="130">
                  <c:v>4.74</c:v>
                </c:pt>
                <c:pt idx="131">
                  <c:v>4.6689999999999996</c:v>
                </c:pt>
                <c:pt idx="132">
                  <c:v>4.72</c:v>
                </c:pt>
                <c:pt idx="133">
                  <c:v>4.74</c:v>
                </c:pt>
                <c:pt idx="134">
                  <c:v>4.7119999999999997</c:v>
                </c:pt>
                <c:pt idx="135">
                  <c:v>4.7119999999999997</c:v>
                </c:pt>
                <c:pt idx="136">
                  <c:v>4.7220000000000004</c:v>
                </c:pt>
                <c:pt idx="137">
                  <c:v>4.7329999999999997</c:v>
                </c:pt>
                <c:pt idx="138">
                  <c:v>4.734</c:v>
                </c:pt>
                <c:pt idx="139">
                  <c:v>4.7409999999999997</c:v>
                </c:pt>
                <c:pt idx="140">
                  <c:v>4.7439999999999998</c:v>
                </c:pt>
                <c:pt idx="141">
                  <c:v>4.8250000000000002</c:v>
                </c:pt>
                <c:pt idx="142">
                  <c:v>4.8019999999999996</c:v>
                </c:pt>
                <c:pt idx="143">
                  <c:v>4.8019999999999996</c:v>
                </c:pt>
                <c:pt idx="144">
                  <c:v>4.7850000000000001</c:v>
                </c:pt>
                <c:pt idx="145">
                  <c:v>4.7619999999999996</c:v>
                </c:pt>
                <c:pt idx="146">
                  <c:v>4.7590000000000003</c:v>
                </c:pt>
                <c:pt idx="147">
                  <c:v>4.7279999999999998</c:v>
                </c:pt>
                <c:pt idx="148">
                  <c:v>4.6970000000000001</c:v>
                </c:pt>
                <c:pt idx="149">
                  <c:v>4.6970000000000001</c:v>
                </c:pt>
                <c:pt idx="150">
                  <c:v>4.6980000000000004</c:v>
                </c:pt>
                <c:pt idx="151">
                  <c:v>4.6879999999999997</c:v>
                </c:pt>
                <c:pt idx="152">
                  <c:v>4.7009999999999996</c:v>
                </c:pt>
                <c:pt idx="153">
                  <c:v>4.6769999999999996</c:v>
                </c:pt>
                <c:pt idx="154">
                  <c:v>4.6740000000000004</c:v>
                </c:pt>
                <c:pt idx="155">
                  <c:v>4.657</c:v>
                </c:pt>
                <c:pt idx="156">
                  <c:v>4.6440000000000001</c:v>
                </c:pt>
                <c:pt idx="157">
                  <c:v>4.6440000000000001</c:v>
                </c:pt>
                <c:pt idx="158">
                  <c:v>4.6230000000000002</c:v>
                </c:pt>
                <c:pt idx="159">
                  <c:v>4.6059999999999999</c:v>
                </c:pt>
                <c:pt idx="160">
                  <c:v>4.6040000000000001</c:v>
                </c:pt>
                <c:pt idx="161">
                  <c:v>4.617</c:v>
                </c:pt>
                <c:pt idx="162">
                  <c:v>4.6150000000000002</c:v>
                </c:pt>
                <c:pt idx="163">
                  <c:v>4.601</c:v>
                </c:pt>
                <c:pt idx="164">
                  <c:v>4.5919999999999996</c:v>
                </c:pt>
                <c:pt idx="165">
                  <c:v>4.5979999999999999</c:v>
                </c:pt>
                <c:pt idx="166">
                  <c:v>4.556</c:v>
                </c:pt>
                <c:pt idx="167">
                  <c:v>4.5339999999999998</c:v>
                </c:pt>
                <c:pt idx="168">
                  <c:v>4.4989999999999997</c:v>
                </c:pt>
                <c:pt idx="169">
                  <c:v>4.484</c:v>
                </c:pt>
                <c:pt idx="170">
                  <c:v>4.4889999999999999</c:v>
                </c:pt>
                <c:pt idx="171">
                  <c:v>4.4980000000000002</c:v>
                </c:pt>
                <c:pt idx="172">
                  <c:v>4.5220000000000002</c:v>
                </c:pt>
                <c:pt idx="173">
                  <c:v>4.5250000000000004</c:v>
                </c:pt>
                <c:pt idx="174">
                  <c:v>4.5179999999999998</c:v>
                </c:pt>
                <c:pt idx="175">
                  <c:v>4.5149999999999997</c:v>
                </c:pt>
                <c:pt idx="176">
                  <c:v>4.5199999999999996</c:v>
                </c:pt>
                <c:pt idx="177">
                  <c:v>4.5010000000000003</c:v>
                </c:pt>
                <c:pt idx="178">
                  <c:v>4.4800000000000004</c:v>
                </c:pt>
                <c:pt idx="179">
                  <c:v>4.4539999999999997</c:v>
                </c:pt>
                <c:pt idx="180">
                  <c:v>4.4450000000000003</c:v>
                </c:pt>
                <c:pt idx="181">
                  <c:v>4.4260000000000002</c:v>
                </c:pt>
                <c:pt idx="182">
                  <c:v>4.4340000000000002</c:v>
                </c:pt>
                <c:pt idx="183">
                  <c:v>4.423</c:v>
                </c:pt>
                <c:pt idx="184">
                  <c:v>4.4210000000000003</c:v>
                </c:pt>
                <c:pt idx="185">
                  <c:v>4.4180000000000001</c:v>
                </c:pt>
                <c:pt idx="186">
                  <c:v>4.4160000000000004</c:v>
                </c:pt>
                <c:pt idx="187">
                  <c:v>4.4160000000000004</c:v>
                </c:pt>
                <c:pt idx="188">
                  <c:v>4.4089999999999998</c:v>
                </c:pt>
                <c:pt idx="189">
                  <c:v>4.4009999999999998</c:v>
                </c:pt>
                <c:pt idx="190">
                  <c:v>4.3860000000000001</c:v>
                </c:pt>
                <c:pt idx="191">
                  <c:v>4.3929999999999998</c:v>
                </c:pt>
                <c:pt idx="192">
                  <c:v>4.3760000000000003</c:v>
                </c:pt>
                <c:pt idx="193">
                  <c:v>4.3479999999999999</c:v>
                </c:pt>
                <c:pt idx="194">
                  <c:v>4.3230000000000004</c:v>
                </c:pt>
                <c:pt idx="195">
                  <c:v>4.3230000000000004</c:v>
                </c:pt>
                <c:pt idx="196">
                  <c:v>4.3230000000000004</c:v>
                </c:pt>
                <c:pt idx="197">
                  <c:v>4.3230000000000004</c:v>
                </c:pt>
                <c:pt idx="198">
                  <c:v>4.3810000000000002</c:v>
                </c:pt>
                <c:pt idx="199">
                  <c:v>4.3869999999999996</c:v>
                </c:pt>
                <c:pt idx="200">
                  <c:v>4.3970000000000002</c:v>
                </c:pt>
                <c:pt idx="201">
                  <c:v>4.3970000000000002</c:v>
                </c:pt>
                <c:pt idx="202">
                  <c:v>4.3970000000000002</c:v>
                </c:pt>
                <c:pt idx="203">
                  <c:v>4.3849999999999998</c:v>
                </c:pt>
                <c:pt idx="204">
                  <c:v>4.3840000000000003</c:v>
                </c:pt>
                <c:pt idx="205">
                  <c:v>4.3620000000000001</c:v>
                </c:pt>
                <c:pt idx="206">
                  <c:v>4.3250000000000002</c:v>
                </c:pt>
                <c:pt idx="207">
                  <c:v>4.3070000000000004</c:v>
                </c:pt>
                <c:pt idx="208">
                  <c:v>4.2549999999999999</c:v>
                </c:pt>
                <c:pt idx="209">
                  <c:v>4.2380000000000004</c:v>
                </c:pt>
                <c:pt idx="210">
                  <c:v>4.2359999999999998</c:v>
                </c:pt>
                <c:pt idx="211">
                  <c:v>4.2460000000000004</c:v>
                </c:pt>
                <c:pt idx="212">
                  <c:v>4.2329999999999997</c:v>
                </c:pt>
                <c:pt idx="213">
                  <c:v>4.2329999999999997</c:v>
                </c:pt>
                <c:pt idx="214">
                  <c:v>4.21</c:v>
                </c:pt>
                <c:pt idx="215">
                  <c:v>4.22</c:v>
                </c:pt>
                <c:pt idx="216">
                  <c:v>4.2069999999999999</c:v>
                </c:pt>
                <c:pt idx="217">
                  <c:v>4.2080000000000002</c:v>
                </c:pt>
                <c:pt idx="218">
                  <c:v>4.1970000000000001</c:v>
                </c:pt>
                <c:pt idx="219">
                  <c:v>4.1669999999999998</c:v>
                </c:pt>
                <c:pt idx="220">
                  <c:v>4.125</c:v>
                </c:pt>
                <c:pt idx="221">
                  <c:v>4.1020000000000003</c:v>
                </c:pt>
                <c:pt idx="222">
                  <c:v>4.0629999999999997</c:v>
                </c:pt>
                <c:pt idx="223">
                  <c:v>4.032</c:v>
                </c:pt>
                <c:pt idx="224">
                  <c:v>4.0270000000000001</c:v>
                </c:pt>
                <c:pt idx="225">
                  <c:v>4.0270000000000001</c:v>
                </c:pt>
                <c:pt idx="226">
                  <c:v>4.0359999999999996</c:v>
                </c:pt>
                <c:pt idx="227">
                  <c:v>4.03</c:v>
                </c:pt>
                <c:pt idx="228">
                  <c:v>4.0229999999999997</c:v>
                </c:pt>
                <c:pt idx="229">
                  <c:v>3.97</c:v>
                </c:pt>
                <c:pt idx="230">
                  <c:v>3.9540000000000002</c:v>
                </c:pt>
                <c:pt idx="231">
                  <c:v>3.8980000000000001</c:v>
                </c:pt>
                <c:pt idx="232">
                  <c:v>3.9580000000000002</c:v>
                </c:pt>
                <c:pt idx="233">
                  <c:v>3.9609999999999999</c:v>
                </c:pt>
                <c:pt idx="234">
                  <c:v>3.9620000000000002</c:v>
                </c:pt>
                <c:pt idx="235">
                  <c:v>3.9849999999999999</c:v>
                </c:pt>
                <c:pt idx="236">
                  <c:v>3.964</c:v>
                </c:pt>
                <c:pt idx="237">
                  <c:v>3.9289999999999998</c:v>
                </c:pt>
                <c:pt idx="238">
                  <c:v>3.87</c:v>
                </c:pt>
                <c:pt idx="239">
                  <c:v>3.8420000000000001</c:v>
                </c:pt>
                <c:pt idx="240">
                  <c:v>3.8010000000000002</c:v>
                </c:pt>
                <c:pt idx="241">
                  <c:v>3.8010000000000002</c:v>
                </c:pt>
                <c:pt idx="242">
                  <c:v>3.8180000000000001</c:v>
                </c:pt>
                <c:pt idx="243">
                  <c:v>3.8330000000000002</c:v>
                </c:pt>
                <c:pt idx="244">
                  <c:v>3.8519999999999999</c:v>
                </c:pt>
                <c:pt idx="245">
                  <c:v>3.8879999999999999</c:v>
                </c:pt>
                <c:pt idx="246">
                  <c:v>3.8730000000000002</c:v>
                </c:pt>
                <c:pt idx="247">
                  <c:v>3.8879999999999999</c:v>
                </c:pt>
                <c:pt idx="248">
                  <c:v>3.85</c:v>
                </c:pt>
                <c:pt idx="249">
                  <c:v>3.8209999999999997</c:v>
                </c:pt>
                <c:pt idx="250">
                  <c:v>3.8159999999999998</c:v>
                </c:pt>
                <c:pt idx="251">
                  <c:v>3.823</c:v>
                </c:pt>
                <c:pt idx="252">
                  <c:v>3.823</c:v>
                </c:pt>
                <c:pt idx="253">
                  <c:v>3.8159999999999998</c:v>
                </c:pt>
                <c:pt idx="254">
                  <c:v>3.8050000000000002</c:v>
                </c:pt>
                <c:pt idx="255">
                  <c:v>3.7989999999999999</c:v>
                </c:pt>
                <c:pt idx="256">
                  <c:v>3.7759999999999998</c:v>
                </c:pt>
                <c:pt idx="257">
                  <c:v>3.7829999999999999</c:v>
                </c:pt>
                <c:pt idx="258">
                  <c:v>3.7789999999999999</c:v>
                </c:pt>
                <c:pt idx="259">
                  <c:v>3.7949999999999999</c:v>
                </c:pt>
                <c:pt idx="260">
                  <c:v>3.8180000000000001</c:v>
                </c:pt>
                <c:pt idx="261">
                  <c:v>3.8380000000000001</c:v>
                </c:pt>
                <c:pt idx="262" formatCode="General">
                  <c:v>3.8959999999999999</c:v>
                </c:pt>
                <c:pt idx="263" formatCode="General">
                  <c:v>3.8849999999999998</c:v>
                </c:pt>
                <c:pt idx="264" formatCode="General">
                  <c:v>3.8679999999999999</c:v>
                </c:pt>
                <c:pt idx="265" formatCode="General">
                  <c:v>3.7720000000000002</c:v>
                </c:pt>
                <c:pt idx="266" formatCode="General">
                  <c:v>3.738</c:v>
                </c:pt>
                <c:pt idx="267" formatCode="General">
                  <c:v>3.7080000000000002</c:v>
                </c:pt>
                <c:pt idx="268" formatCode="General">
                  <c:v>3.6970000000000001</c:v>
                </c:pt>
                <c:pt idx="269" formatCode="General">
                  <c:v>3.6819999999999999</c:v>
                </c:pt>
                <c:pt idx="270" formatCode="General">
                  <c:v>3.6080000000000001</c:v>
                </c:pt>
                <c:pt idx="271" formatCode="General">
                  <c:v>3.5540000000000003</c:v>
                </c:pt>
                <c:pt idx="272" formatCode="General">
                  <c:v>3.5470000000000002</c:v>
                </c:pt>
                <c:pt idx="273" formatCode="General">
                  <c:v>3.5620000000000003</c:v>
                </c:pt>
                <c:pt idx="274" formatCode="General">
                  <c:v>3.5510000000000002</c:v>
                </c:pt>
                <c:pt idx="275" formatCode="General">
                  <c:v>3.556</c:v>
                </c:pt>
                <c:pt idx="276" formatCode="General">
                  <c:v>3.5540000000000003</c:v>
                </c:pt>
                <c:pt idx="277" formatCode="General">
                  <c:v>3.544</c:v>
                </c:pt>
                <c:pt idx="278" formatCode="General">
                  <c:v>3.5300000000000002</c:v>
                </c:pt>
                <c:pt idx="279" formatCode="General">
                  <c:v>3.4969999999999999</c:v>
                </c:pt>
                <c:pt idx="280" formatCode="General">
                  <c:v>3.4670000000000001</c:v>
                </c:pt>
                <c:pt idx="281" formatCode="General">
                  <c:v>3.4689999999999999</c:v>
                </c:pt>
                <c:pt idx="282" formatCode="General">
                  <c:v>3.4489999999999998</c:v>
                </c:pt>
                <c:pt idx="283" formatCode="General">
                  <c:v>3.4489999999999998</c:v>
                </c:pt>
                <c:pt idx="284" formatCode="General">
                  <c:v>3.3839999999999999</c:v>
                </c:pt>
                <c:pt idx="285" formatCode="General">
                  <c:v>3.327</c:v>
                </c:pt>
                <c:pt idx="286" formatCode="General">
                  <c:v>3.3340000000000001</c:v>
                </c:pt>
                <c:pt idx="287" formatCode="General">
                  <c:v>3.3519999999999999</c:v>
                </c:pt>
                <c:pt idx="288" formatCode="General">
                  <c:v>3.4129999999999998</c:v>
                </c:pt>
                <c:pt idx="289" formatCode="General">
                  <c:v>3.4790000000000001</c:v>
                </c:pt>
                <c:pt idx="290" formatCode="General">
                  <c:v>3.528</c:v>
                </c:pt>
                <c:pt idx="291" formatCode="General">
                  <c:v>3.4929999999999999</c:v>
                </c:pt>
                <c:pt idx="292" formatCode="General">
                  <c:v>3.5569999999999999</c:v>
                </c:pt>
                <c:pt idx="293" formatCode="General">
                  <c:v>3.5419999999999998</c:v>
                </c:pt>
                <c:pt idx="294" formatCode="General">
                  <c:v>3.5289999999999999</c:v>
                </c:pt>
                <c:pt idx="295" formatCode="General">
                  <c:v>3.4889999999999999</c:v>
                </c:pt>
                <c:pt idx="296" formatCode="General">
                  <c:v>3.4870000000000001</c:v>
                </c:pt>
                <c:pt idx="297" formatCode="General">
                  <c:v>3.4430000000000001</c:v>
                </c:pt>
                <c:pt idx="298" formatCode="General">
                  <c:v>3.391</c:v>
                </c:pt>
                <c:pt idx="299" formatCode="General">
                  <c:v>3.4169999999999998</c:v>
                </c:pt>
                <c:pt idx="300" formatCode="General">
                  <c:v>3.46</c:v>
                </c:pt>
                <c:pt idx="301" formatCode="General">
                  <c:v>3.4660000000000002</c:v>
                </c:pt>
                <c:pt idx="302" formatCode="General">
                  <c:v>3.4870000000000001</c:v>
                </c:pt>
                <c:pt idx="303" formatCode="General">
                  <c:v>3.508</c:v>
                </c:pt>
              </c:numCache>
            </c:numRef>
          </c:val>
          <c:smooth val="0"/>
        </c:ser>
        <c:dLbls>
          <c:showLegendKey val="0"/>
          <c:showVal val="0"/>
          <c:showCatName val="0"/>
          <c:showSerName val="0"/>
          <c:showPercent val="0"/>
          <c:showBubbleSize val="0"/>
        </c:dLbls>
        <c:smooth val="0"/>
        <c:axId val="472652976"/>
        <c:axId val="472656896"/>
      </c:lineChart>
      <c:dateAx>
        <c:axId val="472652976"/>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2656896"/>
        <c:crosses val="autoZero"/>
        <c:auto val="1"/>
        <c:lblOffset val="100"/>
        <c:baseTimeUnit val="days"/>
        <c:majorUnit val="1"/>
        <c:majorTimeUnit val="months"/>
      </c:dateAx>
      <c:valAx>
        <c:axId val="472656896"/>
        <c:scaling>
          <c:orientation val="minMax"/>
          <c:max val="13"/>
          <c:min val="2"/>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2652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004522484645383E-2"/>
          <c:y val="2.2256808520231312E-2"/>
          <c:w val="0.92562512809412734"/>
          <c:h val="0.74659347683725175"/>
        </c:manualLayout>
      </c:layout>
      <c:lineChart>
        <c:grouping val="standard"/>
        <c:varyColors val="0"/>
        <c:ser>
          <c:idx val="0"/>
          <c:order val="0"/>
          <c:tx>
            <c:strRef>
              <c:f>Currency!$O$68</c:f>
              <c:strCache>
                <c:ptCount val="1"/>
                <c:pt idx="0">
                  <c:v>Real</c:v>
                </c:pt>
              </c:strCache>
            </c:strRef>
          </c:tx>
          <c:spPr>
            <a:ln w="28575" cap="rnd">
              <a:solidFill>
                <a:schemeClr val="accent1"/>
              </a:solidFill>
              <a:round/>
            </a:ln>
            <a:effectLst/>
          </c:spPr>
          <c:marker>
            <c:symbol val="none"/>
          </c:marker>
          <c:cat>
            <c:numRef>
              <c:f>Currency!$N$266:$N$460</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Currency!$O$266:$O$460</c:f>
              <c:numCache>
                <c:formatCode>0.00</c:formatCode>
                <c:ptCount val="195"/>
                <c:pt idx="0">
                  <c:v>99.984544049459046</c:v>
                </c:pt>
                <c:pt idx="1">
                  <c:v>98.274085522926327</c:v>
                </c:pt>
                <c:pt idx="2">
                  <c:v>96.571354971664078</c:v>
                </c:pt>
                <c:pt idx="3">
                  <c:v>95.772797527047913</c:v>
                </c:pt>
                <c:pt idx="4">
                  <c:v>95.989180834621337</c:v>
                </c:pt>
                <c:pt idx="5">
                  <c:v>95.656877897990725</c:v>
                </c:pt>
                <c:pt idx="6">
                  <c:v>95.079855744461611</c:v>
                </c:pt>
                <c:pt idx="7">
                  <c:v>95.662029881504367</c:v>
                </c:pt>
                <c:pt idx="8">
                  <c:v>95.61051004636785</c:v>
                </c:pt>
                <c:pt idx="9">
                  <c:v>95.110767645543532</c:v>
                </c:pt>
                <c:pt idx="10">
                  <c:v>95.893869139618744</c:v>
                </c:pt>
                <c:pt idx="11">
                  <c:v>95.996908809891806</c:v>
                </c:pt>
                <c:pt idx="12">
                  <c:v>96.555899021123125</c:v>
                </c:pt>
                <c:pt idx="13">
                  <c:v>97.006697578567753</c:v>
                </c:pt>
                <c:pt idx="14">
                  <c:v>96.852138073158159</c:v>
                </c:pt>
                <c:pt idx="15">
                  <c:v>97.413704276146319</c:v>
                </c:pt>
                <c:pt idx="16">
                  <c:v>97.158681092220505</c:v>
                </c:pt>
                <c:pt idx="17">
                  <c:v>97.109737248840801</c:v>
                </c:pt>
                <c:pt idx="18">
                  <c:v>97.120041215868099</c:v>
                </c:pt>
                <c:pt idx="19">
                  <c:v>97.032457496136004</c:v>
                </c:pt>
                <c:pt idx="20">
                  <c:v>96.009788768675946</c:v>
                </c:pt>
                <c:pt idx="21">
                  <c:v>95.914477073673353</c:v>
                </c:pt>
                <c:pt idx="22">
                  <c:v>93.892323544564647</c:v>
                </c:pt>
                <c:pt idx="23">
                  <c:v>94.206594538897477</c:v>
                </c:pt>
                <c:pt idx="24">
                  <c:v>94.420401854714058</c:v>
                </c:pt>
                <c:pt idx="25">
                  <c:v>94.492529623905213</c:v>
                </c:pt>
                <c:pt idx="26">
                  <c:v>95.224111282843893</c:v>
                </c:pt>
                <c:pt idx="27">
                  <c:v>95.613086038124678</c:v>
                </c:pt>
                <c:pt idx="28">
                  <c:v>96.133436373003605</c:v>
                </c:pt>
                <c:pt idx="29">
                  <c:v>96.862442040185471</c:v>
                </c:pt>
                <c:pt idx="30">
                  <c:v>95.566718186501802</c:v>
                </c:pt>
                <c:pt idx="31">
                  <c:v>96.622874806800624</c:v>
                </c:pt>
                <c:pt idx="32">
                  <c:v>96.241628026790309</c:v>
                </c:pt>
                <c:pt idx="33">
                  <c:v>95.566718186501802</c:v>
                </c:pt>
                <c:pt idx="34">
                  <c:v>96.236476043276653</c:v>
                </c:pt>
                <c:pt idx="35">
                  <c:v>95.558990211231318</c:v>
                </c:pt>
                <c:pt idx="36">
                  <c:v>95.832045337454915</c:v>
                </c:pt>
                <c:pt idx="37">
                  <c:v>96.803194229778455</c:v>
                </c:pt>
                <c:pt idx="38">
                  <c:v>96.174652241112824</c:v>
                </c:pt>
                <c:pt idx="39">
                  <c:v>96.133436373003605</c:v>
                </c:pt>
                <c:pt idx="40">
                  <c:v>96.823802163833079</c:v>
                </c:pt>
                <c:pt idx="41">
                  <c:v>95.978876867594025</c:v>
                </c:pt>
                <c:pt idx="42">
                  <c:v>96.50180319422978</c:v>
                </c:pt>
                <c:pt idx="43">
                  <c:v>97.480680061823804</c:v>
                </c:pt>
                <c:pt idx="44">
                  <c:v>97.256568778979897</c:v>
                </c:pt>
                <c:pt idx="45">
                  <c:v>97.261720762493553</c:v>
                </c:pt>
                <c:pt idx="46">
                  <c:v>98.639876352395675</c:v>
                </c:pt>
                <c:pt idx="47">
                  <c:v>99.981968057702204</c:v>
                </c:pt>
                <c:pt idx="48">
                  <c:v>99.659969088098904</c:v>
                </c:pt>
                <c:pt idx="49">
                  <c:v>99.144770736733648</c:v>
                </c:pt>
                <c:pt idx="50">
                  <c:v>98.163317877382795</c:v>
                </c:pt>
                <c:pt idx="51">
                  <c:v>98.444100978876875</c:v>
                </c:pt>
                <c:pt idx="52">
                  <c:v>99.090674909840288</c:v>
                </c:pt>
                <c:pt idx="53">
                  <c:v>98.35909325090158</c:v>
                </c:pt>
                <c:pt idx="54">
                  <c:v>97.707367336424525</c:v>
                </c:pt>
                <c:pt idx="55">
                  <c:v>97.248840803709427</c:v>
                </c:pt>
                <c:pt idx="56">
                  <c:v>97.48583204533746</c:v>
                </c:pt>
                <c:pt idx="57">
                  <c:v>98.245749613601234</c:v>
                </c:pt>
                <c:pt idx="58">
                  <c:v>100.12622359608447</c:v>
                </c:pt>
                <c:pt idx="59">
                  <c:v>99.690880989180826</c:v>
                </c:pt>
                <c:pt idx="60">
                  <c:v>99.649665121071607</c:v>
                </c:pt>
                <c:pt idx="61">
                  <c:v>101.27769191138587</c:v>
                </c:pt>
                <c:pt idx="62">
                  <c:v>101.12570839773312</c:v>
                </c:pt>
                <c:pt idx="63">
                  <c:v>100.48171045852654</c:v>
                </c:pt>
                <c:pt idx="64">
                  <c:v>99.788768675940247</c:v>
                </c:pt>
                <c:pt idx="65">
                  <c:v>99.549201442555386</c:v>
                </c:pt>
                <c:pt idx="66">
                  <c:v>99.358578052550229</c:v>
                </c:pt>
                <c:pt idx="67">
                  <c:v>99.361154044307071</c:v>
                </c:pt>
                <c:pt idx="68">
                  <c:v>99.538897475528074</c:v>
                </c:pt>
                <c:pt idx="69">
                  <c:v>99.162802679031429</c:v>
                </c:pt>
                <c:pt idx="70">
                  <c:v>99.348274085522931</c:v>
                </c:pt>
                <c:pt idx="71">
                  <c:v>98.663060278207098</c:v>
                </c:pt>
                <c:pt idx="72">
                  <c:v>99.204018547140649</c:v>
                </c:pt>
                <c:pt idx="73">
                  <c:v>100.37609479649664</c:v>
                </c:pt>
                <c:pt idx="74">
                  <c:v>99.580113343637294</c:v>
                </c:pt>
                <c:pt idx="75">
                  <c:v>100.3632148377125</c:v>
                </c:pt>
                <c:pt idx="76">
                  <c:v>101.31633178773826</c:v>
                </c:pt>
                <c:pt idx="77">
                  <c:v>101.46058732612056</c:v>
                </c:pt>
                <c:pt idx="78">
                  <c:v>101.39103554868625</c:v>
                </c:pt>
                <c:pt idx="79">
                  <c:v>101.16434827408551</c:v>
                </c:pt>
                <c:pt idx="80">
                  <c:v>101.63060278207109</c:v>
                </c:pt>
                <c:pt idx="81">
                  <c:v>102.85162287480681</c:v>
                </c:pt>
                <c:pt idx="82">
                  <c:v>102.03503348789282</c:v>
                </c:pt>
                <c:pt idx="83">
                  <c:v>101.11540443070581</c:v>
                </c:pt>
                <c:pt idx="84">
                  <c:v>101.1617722823287</c:v>
                </c:pt>
                <c:pt idx="85">
                  <c:v>101.424523441525</c:v>
                </c:pt>
                <c:pt idx="86">
                  <c:v>100.97887686759401</c:v>
                </c:pt>
                <c:pt idx="87">
                  <c:v>101.93456980937661</c:v>
                </c:pt>
                <c:pt idx="88">
                  <c:v>101.45285935085006</c:v>
                </c:pt>
                <c:pt idx="89">
                  <c:v>101.93972179289025</c:v>
                </c:pt>
                <c:pt idx="90">
                  <c:v>102.52962390520351</c:v>
                </c:pt>
                <c:pt idx="91">
                  <c:v>101.40133951571354</c:v>
                </c:pt>
                <c:pt idx="92">
                  <c:v>101.65636269963936</c:v>
                </c:pt>
                <c:pt idx="93">
                  <c:v>101.99896960329727</c:v>
                </c:pt>
                <c:pt idx="94">
                  <c:v>102.59144770736735</c:v>
                </c:pt>
                <c:pt idx="95">
                  <c:v>102.4420401854714</c:v>
                </c:pt>
                <c:pt idx="96">
                  <c:v>102.81813498196806</c:v>
                </c:pt>
                <c:pt idx="97">
                  <c:v>103.37197320968572</c:v>
                </c:pt>
                <c:pt idx="98">
                  <c:v>105.68006182380216</c:v>
                </c:pt>
                <c:pt idx="99">
                  <c:v>105.40185471406491</c:v>
                </c:pt>
                <c:pt idx="100">
                  <c:v>104.45131375579599</c:v>
                </c:pt>
                <c:pt idx="101">
                  <c:v>103.85883565172591</c:v>
                </c:pt>
                <c:pt idx="102">
                  <c:v>104.07521895929932</c:v>
                </c:pt>
                <c:pt idx="103">
                  <c:v>103.67594023699125</c:v>
                </c:pt>
                <c:pt idx="104">
                  <c:v>103.98505924781041</c:v>
                </c:pt>
                <c:pt idx="105">
                  <c:v>103.61154044307057</c:v>
                </c:pt>
                <c:pt idx="106">
                  <c:v>102.70994332818135</c:v>
                </c:pt>
                <c:pt idx="107">
                  <c:v>101.96548171045852</c:v>
                </c:pt>
                <c:pt idx="108">
                  <c:v>101.06388459556928</c:v>
                </c:pt>
                <c:pt idx="109">
                  <c:v>100.47655847501289</c:v>
                </c:pt>
                <c:pt idx="110">
                  <c:v>99.531169500257604</c:v>
                </c:pt>
                <c:pt idx="111">
                  <c:v>99.562081401339526</c:v>
                </c:pt>
                <c:pt idx="112">
                  <c:v>99.855744461617718</c:v>
                </c:pt>
                <c:pt idx="113">
                  <c:v>99.361154044307071</c:v>
                </c:pt>
                <c:pt idx="114">
                  <c:v>99.82483256053581</c:v>
                </c:pt>
                <c:pt idx="115">
                  <c:v>99.317362184441009</c:v>
                </c:pt>
                <c:pt idx="116">
                  <c:v>98.905203503348787</c:v>
                </c:pt>
                <c:pt idx="117">
                  <c:v>98.951571354971662</c:v>
                </c:pt>
                <c:pt idx="118">
                  <c:v>100.45337454920144</c:v>
                </c:pt>
                <c:pt idx="119">
                  <c:v>100.24729520865532</c:v>
                </c:pt>
                <c:pt idx="120">
                  <c:v>99.438433797011839</c:v>
                </c:pt>
                <c:pt idx="121">
                  <c:v>99.791344667697061</c:v>
                </c:pt>
                <c:pt idx="122">
                  <c:v>98.900051519835145</c:v>
                </c:pt>
                <c:pt idx="123">
                  <c:v>98.56002060793405</c:v>
                </c:pt>
                <c:pt idx="124">
                  <c:v>98.387429160226674</c:v>
                </c:pt>
                <c:pt idx="125">
                  <c:v>99.015971148892305</c:v>
                </c:pt>
                <c:pt idx="126">
                  <c:v>99.018547140649147</c:v>
                </c:pt>
                <c:pt idx="127">
                  <c:v>99.608449252962387</c:v>
                </c:pt>
                <c:pt idx="128">
                  <c:v>98.766099948480161</c:v>
                </c:pt>
                <c:pt idx="129">
                  <c:v>98.699124162802676</c:v>
                </c:pt>
                <c:pt idx="130">
                  <c:v>98.593508500772799</c:v>
                </c:pt>
                <c:pt idx="131">
                  <c:v>99.077794951056148</c:v>
                </c:pt>
                <c:pt idx="132">
                  <c:v>97.707367336424525</c:v>
                </c:pt>
                <c:pt idx="133">
                  <c:v>98.415765069551782</c:v>
                </c:pt>
                <c:pt idx="134">
                  <c:v>97.977846470891294</c:v>
                </c:pt>
                <c:pt idx="135">
                  <c:v>97.702215352910855</c:v>
                </c:pt>
                <c:pt idx="136">
                  <c:v>96.857290056671815</c:v>
                </c:pt>
                <c:pt idx="137">
                  <c:v>96.828954147346721</c:v>
                </c:pt>
                <c:pt idx="138">
                  <c:v>96.264811952601747</c:v>
                </c:pt>
                <c:pt idx="139">
                  <c:v>96.64348274085522</c:v>
                </c:pt>
                <c:pt idx="140">
                  <c:v>96.841834106130847</c:v>
                </c:pt>
                <c:pt idx="141">
                  <c:v>96.885625965996908</c:v>
                </c:pt>
                <c:pt idx="142">
                  <c:v>96.48119526017517</c:v>
                </c:pt>
                <c:pt idx="143">
                  <c:v>96.331787738279246</c:v>
                </c:pt>
                <c:pt idx="144">
                  <c:v>96.311179804224622</c:v>
                </c:pt>
                <c:pt idx="145">
                  <c:v>97.215352910870692</c:v>
                </c:pt>
                <c:pt idx="146">
                  <c:v>96.782586295723846</c:v>
                </c:pt>
                <c:pt idx="147">
                  <c:v>97.550231839258117</c:v>
                </c:pt>
                <c:pt idx="148">
                  <c:v>97.047913446676958</c:v>
                </c:pt>
                <c:pt idx="149">
                  <c:v>97.630087583719728</c:v>
                </c:pt>
                <c:pt idx="150">
                  <c:v>97.627511591962914</c:v>
                </c:pt>
                <c:pt idx="151">
                  <c:v>96.823802163833079</c:v>
                </c:pt>
                <c:pt idx="152">
                  <c:v>98.565172591447705</c:v>
                </c:pt>
                <c:pt idx="153">
                  <c:v>99.842864502833592</c:v>
                </c:pt>
                <c:pt idx="154">
                  <c:v>101.97836166924266</c:v>
                </c:pt>
                <c:pt idx="155">
                  <c:v>102.5090159711489</c:v>
                </c:pt>
                <c:pt idx="156">
                  <c:v>102.56568778979909</c:v>
                </c:pt>
                <c:pt idx="157">
                  <c:v>101.34981968057701</c:v>
                </c:pt>
                <c:pt idx="158">
                  <c:v>101.54044307058217</c:v>
                </c:pt>
                <c:pt idx="159">
                  <c:v>102.62235960844926</c:v>
                </c:pt>
                <c:pt idx="160">
                  <c:v>101.87532199896961</c:v>
                </c:pt>
                <c:pt idx="161">
                  <c:v>103.516228748068</c:v>
                </c:pt>
                <c:pt idx="162">
                  <c:v>103.35136527563111</c:v>
                </c:pt>
                <c:pt idx="163">
                  <c:v>102.9005667181865</c:v>
                </c:pt>
                <c:pt idx="164">
                  <c:v>104.21432251416796</c:v>
                </c:pt>
                <c:pt idx="165">
                  <c:v>104.09582689335394</c:v>
                </c:pt>
                <c:pt idx="166">
                  <c:v>103.74806800618236</c:v>
                </c:pt>
                <c:pt idx="167">
                  <c:v>104.68057702215351</c:v>
                </c:pt>
                <c:pt idx="168">
                  <c:v>105.95826893353942</c:v>
                </c:pt>
                <c:pt idx="169">
                  <c:v>106.88304997424009</c:v>
                </c:pt>
                <c:pt idx="170">
                  <c:v>107.14580113343636</c:v>
                </c:pt>
                <c:pt idx="171">
                  <c:v>106.92684183410613</c:v>
                </c:pt>
                <c:pt idx="172">
                  <c:v>107.23853683668212</c:v>
                </c:pt>
                <c:pt idx="173">
                  <c:v>106.58423493044822</c:v>
                </c:pt>
                <c:pt idx="174">
                  <c:v>107.41885625965996</c:v>
                </c:pt>
                <c:pt idx="175">
                  <c:v>107.40597630087585</c:v>
                </c:pt>
                <c:pt idx="176">
                  <c:v>105.64142194744977</c:v>
                </c:pt>
                <c:pt idx="177">
                  <c:v>105.28593508500772</c:v>
                </c:pt>
                <c:pt idx="178">
                  <c:v>104.77073673364244</c:v>
                </c:pt>
                <c:pt idx="179">
                  <c:v>105.42503863987636</c:v>
                </c:pt>
                <c:pt idx="180">
                  <c:v>105.45595054095827</c:v>
                </c:pt>
                <c:pt idx="181">
                  <c:v>104.6780010303967</c:v>
                </c:pt>
                <c:pt idx="182">
                  <c:v>104.57753735188049</c:v>
                </c:pt>
                <c:pt idx="183">
                  <c:v>104.82740855229262</c:v>
                </c:pt>
                <c:pt idx="184">
                  <c:v>105.37094281298297</c:v>
                </c:pt>
                <c:pt idx="185">
                  <c:v>105.46367851622875</c:v>
                </c:pt>
                <c:pt idx="186">
                  <c:v>105.49459041731066</c:v>
                </c:pt>
                <c:pt idx="187">
                  <c:v>106.59711488923233</c:v>
                </c:pt>
                <c:pt idx="188">
                  <c:v>107.40597630087585</c:v>
                </c:pt>
                <c:pt idx="189">
                  <c:v>107.65584750128798</c:v>
                </c:pt>
                <c:pt idx="190">
                  <c:v>107.51674394641937</c:v>
                </c:pt>
                <c:pt idx="191">
                  <c:v>107.70479134466768</c:v>
                </c:pt>
                <c:pt idx="192">
                  <c:v>107.02730551262236</c:v>
                </c:pt>
                <c:pt idx="193">
                  <c:v>107.27717671303452</c:v>
                </c:pt>
                <c:pt idx="194">
                  <c:v>107.24884080370943</c:v>
                </c:pt>
              </c:numCache>
            </c:numRef>
          </c:val>
          <c:smooth val="0"/>
        </c:ser>
        <c:ser>
          <c:idx val="1"/>
          <c:order val="1"/>
          <c:tx>
            <c:strRef>
              <c:f>Currency!$P$68</c:f>
              <c:strCache>
                <c:ptCount val="1"/>
                <c:pt idx="0">
                  <c:v>Rouble</c:v>
                </c:pt>
              </c:strCache>
            </c:strRef>
          </c:tx>
          <c:spPr>
            <a:ln w="28575" cap="rnd">
              <a:solidFill>
                <a:schemeClr val="accent2"/>
              </a:solidFill>
              <a:round/>
            </a:ln>
            <a:effectLst/>
          </c:spPr>
          <c:marker>
            <c:symbol val="none"/>
          </c:marker>
          <c:cat>
            <c:numRef>
              <c:f>Currency!$N$266:$N$460</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Currency!$P$266:$P$460</c:f>
              <c:numCache>
                <c:formatCode>0.00</c:formatCode>
                <c:ptCount val="195"/>
                <c:pt idx="0">
                  <c:v>100.52095273936359</c:v>
                </c:pt>
                <c:pt idx="1">
                  <c:v>99.148567416013847</c:v>
                </c:pt>
                <c:pt idx="2">
                  <c:v>98.805254802555581</c:v>
                </c:pt>
                <c:pt idx="3">
                  <c:v>97.453632610805187</c:v>
                </c:pt>
                <c:pt idx="4">
                  <c:v>96.081968229524875</c:v>
                </c:pt>
                <c:pt idx="5">
                  <c:v>96.260473485913494</c:v>
                </c:pt>
                <c:pt idx="6">
                  <c:v>96.234663759828237</c:v>
                </c:pt>
                <c:pt idx="7">
                  <c:v>96.623972477315547</c:v>
                </c:pt>
                <c:pt idx="8">
                  <c:v>96.423838958844314</c:v>
                </c:pt>
                <c:pt idx="9">
                  <c:v>96.628298129732073</c:v>
                </c:pt>
                <c:pt idx="10">
                  <c:v>96.645889116225959</c:v>
                </c:pt>
                <c:pt idx="11">
                  <c:v>95.677087163338072</c:v>
                </c:pt>
                <c:pt idx="12">
                  <c:v>95.738223050824971</c:v>
                </c:pt>
                <c:pt idx="13">
                  <c:v>95.631523624550667</c:v>
                </c:pt>
                <c:pt idx="14">
                  <c:v>95.714431962534093</c:v>
                </c:pt>
                <c:pt idx="15">
                  <c:v>95.795177474309227</c:v>
                </c:pt>
                <c:pt idx="16">
                  <c:v>95.302197287239181</c:v>
                </c:pt>
                <c:pt idx="17">
                  <c:v>94.905679149057647</c:v>
                </c:pt>
                <c:pt idx="18">
                  <c:v>95.126575799128233</c:v>
                </c:pt>
                <c:pt idx="19">
                  <c:v>95.551210678017171</c:v>
                </c:pt>
                <c:pt idx="20">
                  <c:v>95.226209993122211</c:v>
                </c:pt>
                <c:pt idx="21">
                  <c:v>95.044532591628126</c:v>
                </c:pt>
                <c:pt idx="22">
                  <c:v>94.516947185225874</c:v>
                </c:pt>
                <c:pt idx="23">
                  <c:v>94.382131018244152</c:v>
                </c:pt>
                <c:pt idx="24">
                  <c:v>94.610525465836702</c:v>
                </c:pt>
                <c:pt idx="25">
                  <c:v>94.574189985537899</c:v>
                </c:pt>
                <c:pt idx="26">
                  <c:v>94.877562408350244</c:v>
                </c:pt>
                <c:pt idx="27">
                  <c:v>95.304936867102981</c:v>
                </c:pt>
                <c:pt idx="28">
                  <c:v>94.811091549549616</c:v>
                </c:pt>
                <c:pt idx="29">
                  <c:v>94.919953802032182</c:v>
                </c:pt>
                <c:pt idx="30">
                  <c:v>95.055490911083325</c:v>
                </c:pt>
                <c:pt idx="31">
                  <c:v>94.944465832392495</c:v>
                </c:pt>
                <c:pt idx="32">
                  <c:v>96.426001785052563</c:v>
                </c:pt>
                <c:pt idx="33">
                  <c:v>95.84939231792967</c:v>
                </c:pt>
                <c:pt idx="34">
                  <c:v>95.432976178632146</c:v>
                </c:pt>
                <c:pt idx="35">
                  <c:v>94.865162204756203</c:v>
                </c:pt>
                <c:pt idx="36">
                  <c:v>94.467202182435813</c:v>
                </c:pt>
                <c:pt idx="37">
                  <c:v>94.51132383708439</c:v>
                </c:pt>
                <c:pt idx="38">
                  <c:v>94.216170153863445</c:v>
                </c:pt>
                <c:pt idx="39">
                  <c:v>94.559338578907827</c:v>
                </c:pt>
                <c:pt idx="40">
                  <c:v>94.92226081665433</c:v>
                </c:pt>
                <c:pt idx="41">
                  <c:v>94.797393650230632</c:v>
                </c:pt>
                <c:pt idx="42">
                  <c:v>94.945186774461916</c:v>
                </c:pt>
                <c:pt idx="43">
                  <c:v>95.064430592744159</c:v>
                </c:pt>
                <c:pt idx="44">
                  <c:v>94.787012084430955</c:v>
                </c:pt>
                <c:pt idx="45">
                  <c:v>94.835459391496059</c:v>
                </c:pt>
                <c:pt idx="46">
                  <c:v>95.128882813750366</c:v>
                </c:pt>
                <c:pt idx="47">
                  <c:v>95.408464148271833</c:v>
                </c:pt>
                <c:pt idx="48">
                  <c:v>95.690640874243186</c:v>
                </c:pt>
                <c:pt idx="49">
                  <c:v>95.098747435248583</c:v>
                </c:pt>
                <c:pt idx="50">
                  <c:v>94.61686975604762</c:v>
                </c:pt>
                <c:pt idx="51">
                  <c:v>94.299222680260755</c:v>
                </c:pt>
                <c:pt idx="52">
                  <c:v>94.511900590739927</c:v>
                </c:pt>
                <c:pt idx="53">
                  <c:v>93.57712710352871</c:v>
                </c:pt>
                <c:pt idx="54">
                  <c:v>92.842775511616523</c:v>
                </c:pt>
                <c:pt idx="55">
                  <c:v>92.818551858083993</c:v>
                </c:pt>
                <c:pt idx="56">
                  <c:v>92.717331591537274</c:v>
                </c:pt>
                <c:pt idx="57">
                  <c:v>92.049306670011831</c:v>
                </c:pt>
                <c:pt idx="58">
                  <c:v>93.269429028299854</c:v>
                </c:pt>
                <c:pt idx="59">
                  <c:v>92.419294140038659</c:v>
                </c:pt>
                <c:pt idx="60">
                  <c:v>92.864836338940805</c:v>
                </c:pt>
                <c:pt idx="61">
                  <c:v>93.365602700360611</c:v>
                </c:pt>
                <c:pt idx="62">
                  <c:v>93.683249776147491</c:v>
                </c:pt>
                <c:pt idx="63">
                  <c:v>94.746206763301728</c:v>
                </c:pt>
                <c:pt idx="64">
                  <c:v>94.250198619540114</c:v>
                </c:pt>
                <c:pt idx="65">
                  <c:v>94.297059854052478</c:v>
                </c:pt>
                <c:pt idx="66">
                  <c:v>94.078614407017938</c:v>
                </c:pt>
                <c:pt idx="67">
                  <c:v>94.36843311892514</c:v>
                </c:pt>
                <c:pt idx="68">
                  <c:v>94.196848906402963</c:v>
                </c:pt>
                <c:pt idx="69">
                  <c:v>93.573954958423272</c:v>
                </c:pt>
                <c:pt idx="70">
                  <c:v>93.604955467408359</c:v>
                </c:pt>
                <c:pt idx="71">
                  <c:v>92.648553718114528</c:v>
                </c:pt>
                <c:pt idx="72">
                  <c:v>93.246647258906151</c:v>
                </c:pt>
                <c:pt idx="73">
                  <c:v>92.692242807521438</c:v>
                </c:pt>
                <c:pt idx="74">
                  <c:v>92.649274660183949</c:v>
                </c:pt>
                <c:pt idx="75">
                  <c:v>92.434145546668731</c:v>
                </c:pt>
                <c:pt idx="76">
                  <c:v>92.058246351672651</c:v>
                </c:pt>
                <c:pt idx="77">
                  <c:v>92.238914434269546</c:v>
                </c:pt>
                <c:pt idx="78">
                  <c:v>92.364214165934925</c:v>
                </c:pt>
                <c:pt idx="79">
                  <c:v>91.999994232463436</c:v>
                </c:pt>
                <c:pt idx="80">
                  <c:v>91.883922559286674</c:v>
                </c:pt>
                <c:pt idx="81">
                  <c:v>92.88790648516229</c:v>
                </c:pt>
                <c:pt idx="82">
                  <c:v>93.382184367957294</c:v>
                </c:pt>
                <c:pt idx="83">
                  <c:v>93.479223170501342</c:v>
                </c:pt>
                <c:pt idx="84">
                  <c:v>92.91933955938903</c:v>
                </c:pt>
                <c:pt idx="85">
                  <c:v>93.272456984991422</c:v>
                </c:pt>
                <c:pt idx="86">
                  <c:v>93.376705208229694</c:v>
                </c:pt>
                <c:pt idx="87">
                  <c:v>94.415582730265285</c:v>
                </c:pt>
                <c:pt idx="88">
                  <c:v>93.848345510044879</c:v>
                </c:pt>
                <c:pt idx="89">
                  <c:v>94.126917525669143</c:v>
                </c:pt>
                <c:pt idx="90">
                  <c:v>94.144941077404681</c:v>
                </c:pt>
                <c:pt idx="91">
                  <c:v>93.75779518612562</c:v>
                </c:pt>
                <c:pt idx="92">
                  <c:v>94.092023929509168</c:v>
                </c:pt>
                <c:pt idx="93">
                  <c:v>94.003924808625925</c:v>
                </c:pt>
                <c:pt idx="94">
                  <c:v>94.408517497984974</c:v>
                </c:pt>
                <c:pt idx="95">
                  <c:v>93.567466479798483</c:v>
                </c:pt>
                <c:pt idx="96">
                  <c:v>93.176715878172317</c:v>
                </c:pt>
                <c:pt idx="97">
                  <c:v>93.118752135790871</c:v>
                </c:pt>
                <c:pt idx="98">
                  <c:v>93.350751293730539</c:v>
                </c:pt>
                <c:pt idx="99">
                  <c:v>93.072611843347943</c:v>
                </c:pt>
                <c:pt idx="100">
                  <c:v>92.856040845693883</c:v>
                </c:pt>
                <c:pt idx="101">
                  <c:v>92.808314480698215</c:v>
                </c:pt>
                <c:pt idx="102">
                  <c:v>93.429910732952962</c:v>
                </c:pt>
                <c:pt idx="103">
                  <c:v>93.037429870360199</c:v>
                </c:pt>
                <c:pt idx="104">
                  <c:v>92.845803468308091</c:v>
                </c:pt>
                <c:pt idx="105">
                  <c:v>93.26827552098878</c:v>
                </c:pt>
                <c:pt idx="106">
                  <c:v>93.921737412711934</c:v>
                </c:pt>
                <c:pt idx="107">
                  <c:v>93.806098304776825</c:v>
                </c:pt>
                <c:pt idx="108">
                  <c:v>94.129801293946826</c:v>
                </c:pt>
                <c:pt idx="109">
                  <c:v>94.225398212352047</c:v>
                </c:pt>
                <c:pt idx="110">
                  <c:v>94.053093057760435</c:v>
                </c:pt>
                <c:pt idx="111">
                  <c:v>94.063330435146213</c:v>
                </c:pt>
                <c:pt idx="112">
                  <c:v>93.883671671446507</c:v>
                </c:pt>
                <c:pt idx="113">
                  <c:v>93.530842622671884</c:v>
                </c:pt>
                <c:pt idx="114">
                  <c:v>93.299708595215535</c:v>
                </c:pt>
                <c:pt idx="115">
                  <c:v>93.068286190931417</c:v>
                </c:pt>
                <c:pt idx="116">
                  <c:v>93.449231980413444</c:v>
                </c:pt>
                <c:pt idx="117">
                  <c:v>93.008447999169476</c:v>
                </c:pt>
                <c:pt idx="118">
                  <c:v>92.839603366511085</c:v>
                </c:pt>
                <c:pt idx="119">
                  <c:v>92.597943584841175</c:v>
                </c:pt>
                <c:pt idx="120">
                  <c:v>92.250305318966397</c:v>
                </c:pt>
                <c:pt idx="121">
                  <c:v>91.98946847824989</c:v>
                </c:pt>
                <c:pt idx="122">
                  <c:v>90.736182784768502</c:v>
                </c:pt>
                <c:pt idx="123">
                  <c:v>91.234930508393916</c:v>
                </c:pt>
                <c:pt idx="124">
                  <c:v>90.376288503713567</c:v>
                </c:pt>
                <c:pt idx="125">
                  <c:v>90.73012687138538</c:v>
                </c:pt>
                <c:pt idx="126">
                  <c:v>90.770499627272955</c:v>
                </c:pt>
                <c:pt idx="127">
                  <c:v>90.970777334158086</c:v>
                </c:pt>
                <c:pt idx="128">
                  <c:v>91.029606207022823</c:v>
                </c:pt>
                <c:pt idx="129">
                  <c:v>90.891473706521779</c:v>
                </c:pt>
                <c:pt idx="130">
                  <c:v>91.226135015146994</c:v>
                </c:pt>
                <c:pt idx="131">
                  <c:v>91.357058094953828</c:v>
                </c:pt>
                <c:pt idx="132">
                  <c:v>91.465920347436409</c:v>
                </c:pt>
                <c:pt idx="133">
                  <c:v>91.950393418087288</c:v>
                </c:pt>
                <c:pt idx="134">
                  <c:v>91.740743464299669</c:v>
                </c:pt>
                <c:pt idx="135">
                  <c:v>92.038059973728863</c:v>
                </c:pt>
                <c:pt idx="136">
                  <c:v>91.067383571460496</c:v>
                </c:pt>
                <c:pt idx="137">
                  <c:v>90.632511315185766</c:v>
                </c:pt>
                <c:pt idx="138">
                  <c:v>90.789676686319538</c:v>
                </c:pt>
                <c:pt idx="139">
                  <c:v>90.40180985297107</c:v>
                </c:pt>
                <c:pt idx="140">
                  <c:v>90.828030804412734</c:v>
                </c:pt>
                <c:pt idx="141">
                  <c:v>90.584496573362344</c:v>
                </c:pt>
                <c:pt idx="142">
                  <c:v>90.817072484957535</c:v>
                </c:pt>
                <c:pt idx="143">
                  <c:v>90.827454050757197</c:v>
                </c:pt>
                <c:pt idx="144">
                  <c:v>90.961693464083382</c:v>
                </c:pt>
                <c:pt idx="145">
                  <c:v>91.249781915024002</c:v>
                </c:pt>
                <c:pt idx="146">
                  <c:v>90.992982349896252</c:v>
                </c:pt>
                <c:pt idx="147">
                  <c:v>91.213878999966823</c:v>
                </c:pt>
                <c:pt idx="148">
                  <c:v>91.46505521695309</c:v>
                </c:pt>
                <c:pt idx="149">
                  <c:v>91.516386292295863</c:v>
                </c:pt>
                <c:pt idx="150">
                  <c:v>91.664611981768815</c:v>
                </c:pt>
                <c:pt idx="151">
                  <c:v>91.449627056667481</c:v>
                </c:pt>
                <c:pt idx="152">
                  <c:v>92.026524900618128</c:v>
                </c:pt>
                <c:pt idx="153">
                  <c:v>93.776395491516666</c:v>
                </c:pt>
                <c:pt idx="154">
                  <c:v>94.198290790541805</c:v>
                </c:pt>
                <c:pt idx="155">
                  <c:v>94.141047990229794</c:v>
                </c:pt>
                <c:pt idx="156">
                  <c:v>94.607497509145148</c:v>
                </c:pt>
                <c:pt idx="157">
                  <c:v>93.881653033652128</c:v>
                </c:pt>
                <c:pt idx="158">
                  <c:v>94.357763176297723</c:v>
                </c:pt>
                <c:pt idx="159">
                  <c:v>94.391214888318871</c:v>
                </c:pt>
                <c:pt idx="160">
                  <c:v>93.530265869016347</c:v>
                </c:pt>
                <c:pt idx="161">
                  <c:v>95.269899082529122</c:v>
                </c:pt>
                <c:pt idx="162">
                  <c:v>95.244810298513272</c:v>
                </c:pt>
                <c:pt idx="163">
                  <c:v>95.881690522639744</c:v>
                </c:pt>
                <c:pt idx="164">
                  <c:v>96.459886062315334</c:v>
                </c:pt>
                <c:pt idx="165">
                  <c:v>95.920333017560694</c:v>
                </c:pt>
                <c:pt idx="166">
                  <c:v>94.840938551223658</c:v>
                </c:pt>
                <c:pt idx="167">
                  <c:v>94.775621199734118</c:v>
                </c:pt>
                <c:pt idx="168">
                  <c:v>95.25072202348251</c:v>
                </c:pt>
                <c:pt idx="169">
                  <c:v>95.221019210222366</c:v>
                </c:pt>
                <c:pt idx="170">
                  <c:v>96.138201710939711</c:v>
                </c:pt>
                <c:pt idx="171">
                  <c:v>96.046065314467725</c:v>
                </c:pt>
                <c:pt idx="172">
                  <c:v>95.901876900583531</c:v>
                </c:pt>
                <c:pt idx="173">
                  <c:v>96.273162066335331</c:v>
                </c:pt>
                <c:pt idx="174">
                  <c:v>96.279938921787874</c:v>
                </c:pt>
                <c:pt idx="175">
                  <c:v>96.539910632021062</c:v>
                </c:pt>
                <c:pt idx="176">
                  <c:v>95.339253709607419</c:v>
                </c:pt>
                <c:pt idx="177">
                  <c:v>95.408175771444064</c:v>
                </c:pt>
                <c:pt idx="178">
                  <c:v>94.763220996140078</c:v>
                </c:pt>
                <c:pt idx="179">
                  <c:v>94.509881952945534</c:v>
                </c:pt>
                <c:pt idx="180">
                  <c:v>94.123889568977575</c:v>
                </c:pt>
                <c:pt idx="181">
                  <c:v>94.570296898363011</c:v>
                </c:pt>
                <c:pt idx="182">
                  <c:v>93.281829231893894</c:v>
                </c:pt>
                <c:pt idx="183">
                  <c:v>92.629088282240161</c:v>
                </c:pt>
                <c:pt idx="184">
                  <c:v>92.123563703162191</c:v>
                </c:pt>
                <c:pt idx="185">
                  <c:v>92.766932405913451</c:v>
                </c:pt>
                <c:pt idx="186">
                  <c:v>92.558435959436906</c:v>
                </c:pt>
                <c:pt idx="187">
                  <c:v>92.105972716668333</c:v>
                </c:pt>
                <c:pt idx="188">
                  <c:v>92.137694167722842</c:v>
                </c:pt>
                <c:pt idx="189">
                  <c:v>92.039069292626067</c:v>
                </c:pt>
                <c:pt idx="190">
                  <c:v>92.202146388729076</c:v>
                </c:pt>
                <c:pt idx="191">
                  <c:v>92.588427149524819</c:v>
                </c:pt>
                <c:pt idx="192">
                  <c:v>92.58914809159424</c:v>
                </c:pt>
                <c:pt idx="193">
                  <c:v>93.17786938548339</c:v>
                </c:pt>
                <c:pt idx="194">
                  <c:v>93.551029000615685</c:v>
                </c:pt>
              </c:numCache>
            </c:numRef>
          </c:val>
          <c:smooth val="0"/>
        </c:ser>
        <c:ser>
          <c:idx val="2"/>
          <c:order val="2"/>
          <c:tx>
            <c:strRef>
              <c:f>Currency!$Q$68</c:f>
              <c:strCache>
                <c:ptCount val="1"/>
                <c:pt idx="0">
                  <c:v>Rupee</c:v>
                </c:pt>
              </c:strCache>
            </c:strRef>
          </c:tx>
          <c:spPr>
            <a:ln w="28575" cap="rnd">
              <a:solidFill>
                <a:srgbClr val="FF0000"/>
              </a:solidFill>
              <a:round/>
            </a:ln>
            <a:effectLst/>
          </c:spPr>
          <c:marker>
            <c:symbol val="none"/>
          </c:marker>
          <c:cat>
            <c:numRef>
              <c:f>Currency!$N$266:$N$460</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Currency!$Q$266:$Q$460</c:f>
              <c:numCache>
                <c:formatCode>0.00</c:formatCode>
                <c:ptCount val="195"/>
                <c:pt idx="0">
                  <c:v>100.23676280671548</c:v>
                </c:pt>
                <c:pt idx="1">
                  <c:v>100.46850337207633</c:v>
                </c:pt>
                <c:pt idx="2">
                  <c:v>100.62778016932128</c:v>
                </c:pt>
                <c:pt idx="3">
                  <c:v>99.799110345817184</c:v>
                </c:pt>
                <c:pt idx="4">
                  <c:v>100.10618453149662</c:v>
                </c:pt>
                <c:pt idx="5">
                  <c:v>100.64930406084088</c:v>
                </c:pt>
                <c:pt idx="6">
                  <c:v>101.2806715454154</c:v>
                </c:pt>
                <c:pt idx="7">
                  <c:v>101.0233892954513</c:v>
                </c:pt>
                <c:pt idx="8">
                  <c:v>100.98364184244512</c:v>
                </c:pt>
                <c:pt idx="9">
                  <c:v>101.52891376094131</c:v>
                </c:pt>
                <c:pt idx="10">
                  <c:v>102.0591189553738</c:v>
                </c:pt>
                <c:pt idx="11">
                  <c:v>101.87903572965993</c:v>
                </c:pt>
                <c:pt idx="12">
                  <c:v>102.01506672406373</c:v>
                </c:pt>
                <c:pt idx="13">
                  <c:v>102.21265604821352</c:v>
                </c:pt>
                <c:pt idx="14">
                  <c:v>102.16315109771847</c:v>
                </c:pt>
                <c:pt idx="15">
                  <c:v>102.19758932414982</c:v>
                </c:pt>
                <c:pt idx="16">
                  <c:v>102.20863825512987</c:v>
                </c:pt>
                <c:pt idx="17">
                  <c:v>101.97302338929546</c:v>
                </c:pt>
                <c:pt idx="18">
                  <c:v>101.71545415411106</c:v>
                </c:pt>
                <c:pt idx="19">
                  <c:v>101.97804563065003</c:v>
                </c:pt>
                <c:pt idx="20">
                  <c:v>102.46448557899268</c:v>
                </c:pt>
                <c:pt idx="21">
                  <c:v>102.22485292007461</c:v>
                </c:pt>
                <c:pt idx="22">
                  <c:v>101.8273783900129</c:v>
                </c:pt>
                <c:pt idx="23">
                  <c:v>102.51112067728512</c:v>
                </c:pt>
                <c:pt idx="24">
                  <c:v>102.83756636533219</c:v>
                </c:pt>
                <c:pt idx="25">
                  <c:v>102.66178791792224</c:v>
                </c:pt>
                <c:pt idx="26">
                  <c:v>102.67972449418856</c:v>
                </c:pt>
                <c:pt idx="27">
                  <c:v>102.33892954512842</c:v>
                </c:pt>
                <c:pt idx="28">
                  <c:v>102.18037021093416</c:v>
                </c:pt>
                <c:pt idx="29">
                  <c:v>102.13158272348974</c:v>
                </c:pt>
                <c:pt idx="30">
                  <c:v>101.27349691490888</c:v>
                </c:pt>
                <c:pt idx="31">
                  <c:v>101.68532070598366</c:v>
                </c:pt>
                <c:pt idx="32">
                  <c:v>101.92753623188406</c:v>
                </c:pt>
                <c:pt idx="33">
                  <c:v>102.41785048070025</c:v>
                </c:pt>
                <c:pt idx="34">
                  <c:v>102.44870139187832</c:v>
                </c:pt>
                <c:pt idx="35">
                  <c:v>102.22341799397331</c:v>
                </c:pt>
                <c:pt idx="36">
                  <c:v>101.84101018797531</c:v>
                </c:pt>
                <c:pt idx="37">
                  <c:v>102.19471947194721</c:v>
                </c:pt>
                <c:pt idx="38">
                  <c:v>101.89410245372363</c:v>
                </c:pt>
                <c:pt idx="39">
                  <c:v>101.65733964700819</c:v>
                </c:pt>
                <c:pt idx="40">
                  <c:v>101.85966422729231</c:v>
                </c:pt>
                <c:pt idx="41">
                  <c:v>102.06701104893099</c:v>
                </c:pt>
                <c:pt idx="42">
                  <c:v>101.64012053379253</c:v>
                </c:pt>
                <c:pt idx="43">
                  <c:v>101.82953077916488</c:v>
                </c:pt>
                <c:pt idx="44">
                  <c:v>101.76424164155546</c:v>
                </c:pt>
                <c:pt idx="45">
                  <c:v>101.30348687042616</c:v>
                </c:pt>
                <c:pt idx="46">
                  <c:v>100.58186253407951</c:v>
                </c:pt>
                <c:pt idx="47">
                  <c:v>100.62132300186542</c:v>
                </c:pt>
                <c:pt idx="48">
                  <c:v>100.43478260869566</c:v>
                </c:pt>
                <c:pt idx="49">
                  <c:v>100.13990529487731</c:v>
                </c:pt>
                <c:pt idx="50">
                  <c:v>99.884057971014499</c:v>
                </c:pt>
                <c:pt idx="51">
                  <c:v>99.822356148658343</c:v>
                </c:pt>
                <c:pt idx="52">
                  <c:v>99.51356005165735</c:v>
                </c:pt>
                <c:pt idx="53">
                  <c:v>98.949490601234032</c:v>
                </c:pt>
                <c:pt idx="54">
                  <c:v>98.514851485148526</c:v>
                </c:pt>
                <c:pt idx="55">
                  <c:v>99.066580571100587</c:v>
                </c:pt>
                <c:pt idx="56">
                  <c:v>98.714019228009761</c:v>
                </c:pt>
                <c:pt idx="57">
                  <c:v>98.704979193571532</c:v>
                </c:pt>
                <c:pt idx="58">
                  <c:v>99.322714880183682</c:v>
                </c:pt>
                <c:pt idx="59">
                  <c:v>98.8958243650452</c:v>
                </c:pt>
                <c:pt idx="60">
                  <c:v>98.988090113359178</c:v>
                </c:pt>
                <c:pt idx="61">
                  <c:v>99.123547137322433</c:v>
                </c:pt>
                <c:pt idx="62">
                  <c:v>99.243076481561204</c:v>
                </c:pt>
                <c:pt idx="63">
                  <c:v>99.473812598651179</c:v>
                </c:pt>
                <c:pt idx="64">
                  <c:v>99.312670397474534</c:v>
                </c:pt>
                <c:pt idx="65">
                  <c:v>98.894389438943904</c:v>
                </c:pt>
                <c:pt idx="66">
                  <c:v>98.237193284545853</c:v>
                </c:pt>
                <c:pt idx="67">
                  <c:v>98.946046778590897</c:v>
                </c:pt>
                <c:pt idx="68">
                  <c:v>99.266752762232741</c:v>
                </c:pt>
                <c:pt idx="69">
                  <c:v>99.860094705122691</c:v>
                </c:pt>
                <c:pt idx="70">
                  <c:v>99.406658057110064</c:v>
                </c:pt>
                <c:pt idx="71">
                  <c:v>99.207920792079221</c:v>
                </c:pt>
                <c:pt idx="72">
                  <c:v>99.045774142631672</c:v>
                </c:pt>
                <c:pt idx="73">
                  <c:v>99.32343234323433</c:v>
                </c:pt>
                <c:pt idx="74">
                  <c:v>99.567369780456303</c:v>
                </c:pt>
                <c:pt idx="75">
                  <c:v>99.768259434639106</c:v>
                </c:pt>
                <c:pt idx="76">
                  <c:v>99.619027120103311</c:v>
                </c:pt>
                <c:pt idx="77">
                  <c:v>99.621179509255271</c:v>
                </c:pt>
                <c:pt idx="78">
                  <c:v>99.537236332328888</c:v>
                </c:pt>
                <c:pt idx="79">
                  <c:v>99.965561773568652</c:v>
                </c:pt>
                <c:pt idx="80">
                  <c:v>100.09757497488879</c:v>
                </c:pt>
                <c:pt idx="81">
                  <c:v>100.45200172191132</c:v>
                </c:pt>
                <c:pt idx="82">
                  <c:v>100.81790787774432</c:v>
                </c:pt>
                <c:pt idx="83">
                  <c:v>100.1599942602956</c:v>
                </c:pt>
                <c:pt idx="84">
                  <c:v>100.21523891519588</c:v>
                </c:pt>
                <c:pt idx="85">
                  <c:v>99.860812168173354</c:v>
                </c:pt>
                <c:pt idx="86">
                  <c:v>99.815611995982195</c:v>
                </c:pt>
                <c:pt idx="87">
                  <c:v>99.600229588176219</c:v>
                </c:pt>
                <c:pt idx="88">
                  <c:v>99.21538240780599</c:v>
                </c:pt>
                <c:pt idx="89">
                  <c:v>99.524321997417147</c:v>
                </c:pt>
                <c:pt idx="90">
                  <c:v>99.861529631224002</c:v>
                </c:pt>
                <c:pt idx="91">
                  <c:v>100.02511120677285</c:v>
                </c:pt>
                <c:pt idx="92">
                  <c:v>100.55531640120535</c:v>
                </c:pt>
                <c:pt idx="93">
                  <c:v>100.46778590902569</c:v>
                </c:pt>
                <c:pt idx="94">
                  <c:v>101.23834122542689</c:v>
                </c:pt>
                <c:pt idx="95">
                  <c:v>100.89481991677427</c:v>
                </c:pt>
                <c:pt idx="96">
                  <c:v>100.79351413402209</c:v>
                </c:pt>
                <c:pt idx="97">
                  <c:v>100.72463768115942</c:v>
                </c:pt>
                <c:pt idx="98">
                  <c:v>100.91333046348112</c:v>
                </c:pt>
                <c:pt idx="99">
                  <c:v>100.13344812742145</c:v>
                </c:pt>
                <c:pt idx="100">
                  <c:v>99.940307074185668</c:v>
                </c:pt>
                <c:pt idx="101">
                  <c:v>100.02511120677285</c:v>
                </c:pt>
                <c:pt idx="102">
                  <c:v>99.98995551729088</c:v>
                </c:pt>
                <c:pt idx="103">
                  <c:v>99.566652317405669</c:v>
                </c:pt>
                <c:pt idx="104">
                  <c:v>99.685033720763386</c:v>
                </c:pt>
                <c:pt idx="105">
                  <c:v>99.880901133591621</c:v>
                </c:pt>
                <c:pt idx="106">
                  <c:v>100.26259147653897</c:v>
                </c:pt>
                <c:pt idx="107">
                  <c:v>100.15210216673842</c:v>
                </c:pt>
                <c:pt idx="108">
                  <c:v>99.854785478547868</c:v>
                </c:pt>
                <c:pt idx="109">
                  <c:v>99.265748313961822</c:v>
                </c:pt>
                <c:pt idx="110">
                  <c:v>99.583871430621329</c:v>
                </c:pt>
                <c:pt idx="111">
                  <c:v>99.574400918352708</c:v>
                </c:pt>
                <c:pt idx="112">
                  <c:v>99.285406801549712</c:v>
                </c:pt>
                <c:pt idx="113">
                  <c:v>99.496340938441676</c:v>
                </c:pt>
                <c:pt idx="114">
                  <c:v>99.727651025972179</c:v>
                </c:pt>
                <c:pt idx="115">
                  <c:v>99.612569952647448</c:v>
                </c:pt>
                <c:pt idx="116">
                  <c:v>99.546563351987373</c:v>
                </c:pt>
                <c:pt idx="117">
                  <c:v>99.799827808867846</c:v>
                </c:pt>
                <c:pt idx="118">
                  <c:v>100.20591189553738</c:v>
                </c:pt>
                <c:pt idx="119">
                  <c:v>100.23891519586741</c:v>
                </c:pt>
                <c:pt idx="120">
                  <c:v>99.789065863108064</c:v>
                </c:pt>
                <c:pt idx="121">
                  <c:v>100.02224135457026</c:v>
                </c:pt>
                <c:pt idx="122">
                  <c:v>99.799971301477981</c:v>
                </c:pt>
                <c:pt idx="123">
                  <c:v>99.824221552590046</c:v>
                </c:pt>
                <c:pt idx="124">
                  <c:v>99.409958387143078</c:v>
                </c:pt>
                <c:pt idx="125">
                  <c:v>99.408236475821511</c:v>
                </c:pt>
                <c:pt idx="126">
                  <c:v>99.278949634093848</c:v>
                </c:pt>
                <c:pt idx="127">
                  <c:v>99.056536088391439</c:v>
                </c:pt>
                <c:pt idx="128">
                  <c:v>98.905007892093565</c:v>
                </c:pt>
                <c:pt idx="129">
                  <c:v>98.874300473525622</c:v>
                </c:pt>
                <c:pt idx="130">
                  <c:v>98.847754340651463</c:v>
                </c:pt>
                <c:pt idx="131">
                  <c:v>98.71502367628068</c:v>
                </c:pt>
                <c:pt idx="132">
                  <c:v>98.378533505524473</c:v>
                </c:pt>
                <c:pt idx="133">
                  <c:v>98.375663653321865</c:v>
                </c:pt>
                <c:pt idx="134">
                  <c:v>98.433778160424751</c:v>
                </c:pt>
                <c:pt idx="135">
                  <c:v>98.411106328024118</c:v>
                </c:pt>
                <c:pt idx="136">
                  <c:v>98.129860812168175</c:v>
                </c:pt>
                <c:pt idx="137">
                  <c:v>98.207059836418438</c:v>
                </c:pt>
                <c:pt idx="138">
                  <c:v>98.395752618740147</c:v>
                </c:pt>
                <c:pt idx="139">
                  <c:v>98.339073037738558</c:v>
                </c:pt>
                <c:pt idx="140">
                  <c:v>98.590472090687328</c:v>
                </c:pt>
                <c:pt idx="141">
                  <c:v>98.788922370497929</c:v>
                </c:pt>
                <c:pt idx="142">
                  <c:v>98.798249390156428</c:v>
                </c:pt>
                <c:pt idx="143">
                  <c:v>98.832687616587748</c:v>
                </c:pt>
                <c:pt idx="144">
                  <c:v>98.872865547424311</c:v>
                </c:pt>
                <c:pt idx="145">
                  <c:v>99.055818625340791</c:v>
                </c:pt>
                <c:pt idx="146">
                  <c:v>98.939015640694493</c:v>
                </c:pt>
                <c:pt idx="147">
                  <c:v>99.069880901133587</c:v>
                </c:pt>
                <c:pt idx="148">
                  <c:v>98.824078059979925</c:v>
                </c:pt>
                <c:pt idx="149">
                  <c:v>98.626058257999716</c:v>
                </c:pt>
                <c:pt idx="150">
                  <c:v>98.863538527765812</c:v>
                </c:pt>
                <c:pt idx="151">
                  <c:v>98.828382838283844</c:v>
                </c:pt>
                <c:pt idx="152">
                  <c:v>98.802554168460333</c:v>
                </c:pt>
                <c:pt idx="153">
                  <c:v>99.895250394604687</c:v>
                </c:pt>
                <c:pt idx="154">
                  <c:v>101.80441957239204</c:v>
                </c:pt>
                <c:pt idx="155">
                  <c:v>101.93930262591478</c:v>
                </c:pt>
                <c:pt idx="156">
                  <c:v>102.01750609843594</c:v>
                </c:pt>
                <c:pt idx="157">
                  <c:v>101.08049935428325</c:v>
                </c:pt>
                <c:pt idx="158">
                  <c:v>101.92165303486871</c:v>
                </c:pt>
                <c:pt idx="159">
                  <c:v>102.23848471803703</c:v>
                </c:pt>
                <c:pt idx="160">
                  <c:v>101.95580427607977</c:v>
                </c:pt>
                <c:pt idx="161">
                  <c:v>102.70842301621468</c:v>
                </c:pt>
                <c:pt idx="162">
                  <c:v>102.62663222844024</c:v>
                </c:pt>
                <c:pt idx="163">
                  <c:v>102.23001865403933</c:v>
                </c:pt>
                <c:pt idx="164">
                  <c:v>102.64600373080788</c:v>
                </c:pt>
                <c:pt idx="165">
                  <c:v>102.61170899698664</c:v>
                </c:pt>
                <c:pt idx="166">
                  <c:v>102.48543550007174</c:v>
                </c:pt>
                <c:pt idx="167">
                  <c:v>103.22528339790502</c:v>
                </c:pt>
                <c:pt idx="168">
                  <c:v>102.89065863108048</c:v>
                </c:pt>
                <c:pt idx="169">
                  <c:v>102.97761515281965</c:v>
                </c:pt>
                <c:pt idx="170">
                  <c:v>102.63595924809871</c:v>
                </c:pt>
                <c:pt idx="171">
                  <c:v>102.99368632515427</c:v>
                </c:pt>
                <c:pt idx="172">
                  <c:v>102.82608695652173</c:v>
                </c:pt>
                <c:pt idx="173">
                  <c:v>102.62304491318697</c:v>
                </c:pt>
                <c:pt idx="174">
                  <c:v>103.30750466350985</c:v>
                </c:pt>
                <c:pt idx="175">
                  <c:v>103.57727077055534</c:v>
                </c:pt>
                <c:pt idx="176">
                  <c:v>103.3059262447984</c:v>
                </c:pt>
                <c:pt idx="177">
                  <c:v>103.0750466350983</c:v>
                </c:pt>
                <c:pt idx="178">
                  <c:v>102.726359592481</c:v>
                </c:pt>
                <c:pt idx="179">
                  <c:v>102.91433491175206</c:v>
                </c:pt>
                <c:pt idx="180">
                  <c:v>103.11307217678289</c:v>
                </c:pt>
                <c:pt idx="181">
                  <c:v>102.64442531209643</c:v>
                </c:pt>
                <c:pt idx="182">
                  <c:v>101.84961974458315</c:v>
                </c:pt>
                <c:pt idx="183">
                  <c:v>101.86282106471518</c:v>
                </c:pt>
                <c:pt idx="184">
                  <c:v>102.81001578418713</c:v>
                </c:pt>
                <c:pt idx="185">
                  <c:v>102.62778016932128</c:v>
                </c:pt>
                <c:pt idx="186">
                  <c:v>102.06342373367772</c:v>
                </c:pt>
                <c:pt idx="187">
                  <c:v>102.39159133304636</c:v>
                </c:pt>
                <c:pt idx="188">
                  <c:v>101.92638829100302</c:v>
                </c:pt>
                <c:pt idx="189">
                  <c:v>101.59606830248242</c:v>
                </c:pt>
                <c:pt idx="190">
                  <c:v>101.81589898120247</c:v>
                </c:pt>
                <c:pt idx="191">
                  <c:v>101.92351843880041</c:v>
                </c:pt>
                <c:pt idx="192">
                  <c:v>101.86038169034295</c:v>
                </c:pt>
                <c:pt idx="193">
                  <c:v>101.38111637250682</c:v>
                </c:pt>
                <c:pt idx="194">
                  <c:v>101.40407519012771</c:v>
                </c:pt>
              </c:numCache>
            </c:numRef>
          </c:val>
          <c:smooth val="0"/>
        </c:ser>
        <c:ser>
          <c:idx val="3"/>
          <c:order val="3"/>
          <c:tx>
            <c:strRef>
              <c:f>Currency!$R$68</c:f>
              <c:strCache>
                <c:ptCount val="1"/>
                <c:pt idx="0">
                  <c:v>Renminbi</c:v>
                </c:pt>
              </c:strCache>
            </c:strRef>
          </c:tx>
          <c:spPr>
            <a:ln w="28575" cap="rnd">
              <a:solidFill>
                <a:schemeClr val="accent4"/>
              </a:solidFill>
              <a:round/>
            </a:ln>
            <a:effectLst/>
          </c:spPr>
          <c:marker>
            <c:symbol val="none"/>
          </c:marker>
          <c:cat>
            <c:numRef>
              <c:f>Currency!$N$266:$N$460</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Currency!$R$266:$R$460</c:f>
              <c:numCache>
                <c:formatCode>0.00</c:formatCode>
                <c:ptCount val="195"/>
                <c:pt idx="0">
                  <c:v>100</c:v>
                </c:pt>
                <c:pt idx="1">
                  <c:v>99.761575924983646</c:v>
                </c:pt>
                <c:pt idx="2">
                  <c:v>99.905502653194731</c:v>
                </c:pt>
                <c:pt idx="3">
                  <c:v>99.869157519808098</c:v>
                </c:pt>
                <c:pt idx="4">
                  <c:v>99.600203532746974</c:v>
                </c:pt>
                <c:pt idx="5">
                  <c:v>99.632187250127217</c:v>
                </c:pt>
                <c:pt idx="6">
                  <c:v>99.12044777204332</c:v>
                </c:pt>
                <c:pt idx="7">
                  <c:v>98.691575198080983</c:v>
                </c:pt>
                <c:pt idx="8">
                  <c:v>98.316493421530865</c:v>
                </c:pt>
                <c:pt idx="9">
                  <c:v>98.394998909645992</c:v>
                </c:pt>
                <c:pt idx="10">
                  <c:v>98.291778730827957</c:v>
                </c:pt>
                <c:pt idx="11">
                  <c:v>98.240895544086655</c:v>
                </c:pt>
                <c:pt idx="12">
                  <c:v>98.512757141818724</c:v>
                </c:pt>
                <c:pt idx="13">
                  <c:v>98.550556080540815</c:v>
                </c:pt>
                <c:pt idx="14">
                  <c:v>98.832594315621137</c:v>
                </c:pt>
                <c:pt idx="15">
                  <c:v>98.973613433161304</c:v>
                </c:pt>
                <c:pt idx="16">
                  <c:v>98.741004579486813</c:v>
                </c:pt>
                <c:pt idx="17">
                  <c:v>98.693029003416441</c:v>
                </c:pt>
                <c:pt idx="18">
                  <c:v>98.112960674565684</c:v>
                </c:pt>
                <c:pt idx="19">
                  <c:v>98.062077487824368</c:v>
                </c:pt>
                <c:pt idx="20">
                  <c:v>97.883259431562124</c:v>
                </c:pt>
                <c:pt idx="21">
                  <c:v>97.644835356545755</c:v>
                </c:pt>
                <c:pt idx="22">
                  <c:v>97.410772697535805</c:v>
                </c:pt>
                <c:pt idx="23">
                  <c:v>98.057716071817993</c:v>
                </c:pt>
                <c:pt idx="24">
                  <c:v>98.05626226648252</c:v>
                </c:pt>
                <c:pt idx="25">
                  <c:v>98.05626226648252</c:v>
                </c:pt>
                <c:pt idx="26">
                  <c:v>98.05626226648252</c:v>
                </c:pt>
                <c:pt idx="27">
                  <c:v>98.05626226648252</c:v>
                </c:pt>
                <c:pt idx="28">
                  <c:v>98.05626226648252</c:v>
                </c:pt>
                <c:pt idx="29">
                  <c:v>98.748273606164133</c:v>
                </c:pt>
                <c:pt idx="30">
                  <c:v>98.477865813767522</c:v>
                </c:pt>
                <c:pt idx="31">
                  <c:v>98.281602093479677</c:v>
                </c:pt>
                <c:pt idx="32">
                  <c:v>98.453151123064615</c:v>
                </c:pt>
                <c:pt idx="33">
                  <c:v>98.467689176419285</c:v>
                </c:pt>
                <c:pt idx="34">
                  <c:v>98.374645634949488</c:v>
                </c:pt>
                <c:pt idx="35">
                  <c:v>98.255433597441296</c:v>
                </c:pt>
                <c:pt idx="36">
                  <c:v>97.705895180635309</c:v>
                </c:pt>
                <c:pt idx="37">
                  <c:v>97.729156066002759</c:v>
                </c:pt>
                <c:pt idx="38">
                  <c:v>97.611397833830054</c:v>
                </c:pt>
                <c:pt idx="39">
                  <c:v>97.250854110634592</c:v>
                </c:pt>
                <c:pt idx="40">
                  <c:v>97.407865086864859</c:v>
                </c:pt>
                <c:pt idx="41">
                  <c:v>97.218870393254349</c:v>
                </c:pt>
                <c:pt idx="42">
                  <c:v>97.313367740059604</c:v>
                </c:pt>
                <c:pt idx="43">
                  <c:v>97.498001017663739</c:v>
                </c:pt>
                <c:pt idx="44">
                  <c:v>97.508177655011991</c:v>
                </c:pt>
                <c:pt idx="45">
                  <c:v>97.512539071018395</c:v>
                </c:pt>
                <c:pt idx="46">
                  <c:v>97.572145089772476</c:v>
                </c:pt>
                <c:pt idx="47">
                  <c:v>97.621574471178306</c:v>
                </c:pt>
                <c:pt idx="48">
                  <c:v>97.718979428654492</c:v>
                </c:pt>
                <c:pt idx="49">
                  <c:v>97.788762084756854</c:v>
                </c:pt>
                <c:pt idx="50">
                  <c:v>97.529984735043968</c:v>
                </c:pt>
                <c:pt idx="51">
                  <c:v>97.508177655011991</c:v>
                </c:pt>
                <c:pt idx="52">
                  <c:v>97.737878898015566</c:v>
                </c:pt>
                <c:pt idx="53">
                  <c:v>97.601221196481788</c:v>
                </c:pt>
                <c:pt idx="54">
                  <c:v>97.595405975139926</c:v>
                </c:pt>
                <c:pt idx="55">
                  <c:v>97.577960311114339</c:v>
                </c:pt>
                <c:pt idx="56">
                  <c:v>97.324998182743329</c:v>
                </c:pt>
                <c:pt idx="57">
                  <c:v>97.380242785491021</c:v>
                </c:pt>
                <c:pt idx="58">
                  <c:v>97.668096241913204</c:v>
                </c:pt>
                <c:pt idx="59">
                  <c:v>97.541615177727707</c:v>
                </c:pt>
                <c:pt idx="60">
                  <c:v>97.633204913862031</c:v>
                </c:pt>
                <c:pt idx="61">
                  <c:v>97.798938722105106</c:v>
                </c:pt>
                <c:pt idx="62">
                  <c:v>97.971941557025517</c:v>
                </c:pt>
                <c:pt idx="63">
                  <c:v>97.580867921785284</c:v>
                </c:pt>
                <c:pt idx="64">
                  <c:v>97.572145089772476</c:v>
                </c:pt>
                <c:pt idx="65">
                  <c:v>97.743694119357414</c:v>
                </c:pt>
                <c:pt idx="66">
                  <c:v>97.570691284437018</c:v>
                </c:pt>
                <c:pt idx="67">
                  <c:v>97.65646579922948</c:v>
                </c:pt>
                <c:pt idx="68">
                  <c:v>97.666642436577746</c:v>
                </c:pt>
                <c:pt idx="69">
                  <c:v>97.644835356545755</c:v>
                </c:pt>
                <c:pt idx="70">
                  <c:v>97.57650650577888</c:v>
                </c:pt>
                <c:pt idx="71">
                  <c:v>97.639020135203907</c:v>
                </c:pt>
                <c:pt idx="72">
                  <c:v>97.686995711274278</c:v>
                </c:pt>
                <c:pt idx="73">
                  <c:v>97.466017300283497</c:v>
                </c:pt>
                <c:pt idx="74">
                  <c:v>97.53143854037944</c:v>
                </c:pt>
                <c:pt idx="75">
                  <c:v>97.582321727120743</c:v>
                </c:pt>
                <c:pt idx="76">
                  <c:v>97.233408446609005</c:v>
                </c:pt>
                <c:pt idx="77">
                  <c:v>97.537253761721303</c:v>
                </c:pt>
                <c:pt idx="78">
                  <c:v>97.468924910954428</c:v>
                </c:pt>
                <c:pt idx="79">
                  <c:v>97.579414116449797</c:v>
                </c:pt>
                <c:pt idx="80">
                  <c:v>97.781493058079533</c:v>
                </c:pt>
                <c:pt idx="81">
                  <c:v>97.723340844660896</c:v>
                </c:pt>
                <c:pt idx="82">
                  <c:v>98.031547575779612</c:v>
                </c:pt>
                <c:pt idx="83">
                  <c:v>97.836737660827225</c:v>
                </c:pt>
                <c:pt idx="84">
                  <c:v>97.894889874245834</c:v>
                </c:pt>
                <c:pt idx="85">
                  <c:v>97.910881732935962</c:v>
                </c:pt>
                <c:pt idx="86">
                  <c:v>97.913789343606894</c:v>
                </c:pt>
                <c:pt idx="87">
                  <c:v>97.910881732935962</c:v>
                </c:pt>
                <c:pt idx="88">
                  <c:v>97.907974122265045</c:v>
                </c:pt>
                <c:pt idx="89">
                  <c:v>98.344115722904704</c:v>
                </c:pt>
                <c:pt idx="90">
                  <c:v>98.522933779166976</c:v>
                </c:pt>
                <c:pt idx="91">
                  <c:v>98.610162099294911</c:v>
                </c:pt>
                <c:pt idx="92">
                  <c:v>99.258559278912557</c:v>
                </c:pt>
                <c:pt idx="93">
                  <c:v>99.209129897506728</c:v>
                </c:pt>
                <c:pt idx="94">
                  <c:v>99.997092389329083</c:v>
                </c:pt>
                <c:pt idx="95">
                  <c:v>99.962201061277895</c:v>
                </c:pt>
                <c:pt idx="96">
                  <c:v>99.965108671948826</c:v>
                </c:pt>
                <c:pt idx="97">
                  <c:v>100.07705168277967</c:v>
                </c:pt>
                <c:pt idx="98">
                  <c:v>100.5829759395217</c:v>
                </c:pt>
                <c:pt idx="99">
                  <c:v>100.49138620338738</c:v>
                </c:pt>
                <c:pt idx="100">
                  <c:v>100.34600566984082</c:v>
                </c:pt>
                <c:pt idx="101">
                  <c:v>100.40270407792397</c:v>
                </c:pt>
                <c:pt idx="102">
                  <c:v>100.465217707349</c:v>
                </c:pt>
                <c:pt idx="103">
                  <c:v>100.31547575779602</c:v>
                </c:pt>
                <c:pt idx="104">
                  <c:v>100.28639965108673</c:v>
                </c:pt>
                <c:pt idx="105">
                  <c:v>100.46085629134258</c:v>
                </c:pt>
                <c:pt idx="106">
                  <c:v>100.52191611543213</c:v>
                </c:pt>
                <c:pt idx="107">
                  <c:v>100.34019044849896</c:v>
                </c:pt>
                <c:pt idx="108">
                  <c:v>100.38671221923386</c:v>
                </c:pt>
                <c:pt idx="109">
                  <c:v>100.36781274987281</c:v>
                </c:pt>
                <c:pt idx="110">
                  <c:v>100.43323398996876</c:v>
                </c:pt>
                <c:pt idx="111">
                  <c:v>100.44486443265245</c:v>
                </c:pt>
                <c:pt idx="112">
                  <c:v>100.45794868067166</c:v>
                </c:pt>
                <c:pt idx="113">
                  <c:v>100.45504107000072</c:v>
                </c:pt>
                <c:pt idx="114">
                  <c:v>100.76324780111943</c:v>
                </c:pt>
                <c:pt idx="115">
                  <c:v>100.47830195536818</c:v>
                </c:pt>
                <c:pt idx="116">
                  <c:v>100.57134549683798</c:v>
                </c:pt>
                <c:pt idx="117">
                  <c:v>100.62804390492116</c:v>
                </c:pt>
                <c:pt idx="118">
                  <c:v>100.68183470233336</c:v>
                </c:pt>
                <c:pt idx="119">
                  <c:v>100.68764992367522</c:v>
                </c:pt>
                <c:pt idx="120">
                  <c:v>100.36054372319548</c:v>
                </c:pt>
                <c:pt idx="121">
                  <c:v>100.36635894453731</c:v>
                </c:pt>
                <c:pt idx="122">
                  <c:v>99.613287780766157</c:v>
                </c:pt>
                <c:pt idx="123">
                  <c:v>99.874972741149975</c:v>
                </c:pt>
                <c:pt idx="124">
                  <c:v>99.978192919968009</c:v>
                </c:pt>
                <c:pt idx="125">
                  <c:v>100.01889946936106</c:v>
                </c:pt>
                <c:pt idx="126">
                  <c:v>100.02326088536743</c:v>
                </c:pt>
                <c:pt idx="127">
                  <c:v>99.979646725303496</c:v>
                </c:pt>
                <c:pt idx="128">
                  <c:v>99.829904775750521</c:v>
                </c:pt>
                <c:pt idx="129">
                  <c:v>99.610380170095226</c:v>
                </c:pt>
                <c:pt idx="130">
                  <c:v>99.920040706549401</c:v>
                </c:pt>
                <c:pt idx="131">
                  <c:v>100.03925274405756</c:v>
                </c:pt>
                <c:pt idx="132">
                  <c:v>99.898233626517424</c:v>
                </c:pt>
                <c:pt idx="133">
                  <c:v>100.21952460565531</c:v>
                </c:pt>
                <c:pt idx="134">
                  <c:v>100.04942938140584</c:v>
                </c:pt>
                <c:pt idx="135">
                  <c:v>100.16573380824308</c:v>
                </c:pt>
                <c:pt idx="136">
                  <c:v>99.921494511884859</c:v>
                </c:pt>
                <c:pt idx="137">
                  <c:v>99.87933415715635</c:v>
                </c:pt>
                <c:pt idx="138">
                  <c:v>100.03343752271572</c:v>
                </c:pt>
                <c:pt idx="139">
                  <c:v>99.989823362651748</c:v>
                </c:pt>
                <c:pt idx="140">
                  <c:v>99.968016282619757</c:v>
                </c:pt>
                <c:pt idx="141">
                  <c:v>99.930217343897667</c:v>
                </c:pt>
                <c:pt idx="142">
                  <c:v>100.02326088536743</c:v>
                </c:pt>
                <c:pt idx="143">
                  <c:v>100.04361416006398</c:v>
                </c:pt>
                <c:pt idx="144">
                  <c:v>100.0377989387221</c:v>
                </c:pt>
                <c:pt idx="145">
                  <c:v>100.01163044268372</c:v>
                </c:pt>
                <c:pt idx="146">
                  <c:v>99.911317874536593</c:v>
                </c:pt>
                <c:pt idx="147">
                  <c:v>99.914225485207538</c:v>
                </c:pt>
                <c:pt idx="148">
                  <c:v>100.01017663734825</c:v>
                </c:pt>
                <c:pt idx="149">
                  <c:v>100.21661699498436</c:v>
                </c:pt>
                <c:pt idx="150">
                  <c:v>100.08722832012793</c:v>
                </c:pt>
                <c:pt idx="151">
                  <c:v>100.08286690412153</c:v>
                </c:pt>
                <c:pt idx="152">
                  <c:v>100.29366867776403</c:v>
                </c:pt>
                <c:pt idx="153">
                  <c:v>100.89699789198225</c:v>
                </c:pt>
                <c:pt idx="154">
                  <c:v>102.50345278767172</c:v>
                </c:pt>
                <c:pt idx="155">
                  <c:v>102.15017809115359</c:v>
                </c:pt>
                <c:pt idx="156">
                  <c:v>102.64156429454097</c:v>
                </c:pt>
                <c:pt idx="157">
                  <c:v>102.42349349422113</c:v>
                </c:pt>
                <c:pt idx="158">
                  <c:v>102.67354801192121</c:v>
                </c:pt>
                <c:pt idx="159">
                  <c:v>102.61248818783166</c:v>
                </c:pt>
                <c:pt idx="160">
                  <c:v>102.39877880351823</c:v>
                </c:pt>
                <c:pt idx="161">
                  <c:v>102.12110198444428</c:v>
                </c:pt>
                <c:pt idx="162">
                  <c:v>102.26066729664898</c:v>
                </c:pt>
                <c:pt idx="163">
                  <c:v>102.39005597150543</c:v>
                </c:pt>
                <c:pt idx="164">
                  <c:v>102.50490659300719</c:v>
                </c:pt>
                <c:pt idx="165">
                  <c:v>102.64737951588283</c:v>
                </c:pt>
                <c:pt idx="166">
                  <c:v>102.68372464926946</c:v>
                </c:pt>
                <c:pt idx="167">
                  <c:v>102.98320854837537</c:v>
                </c:pt>
                <c:pt idx="168">
                  <c:v>103.16202660463765</c:v>
                </c:pt>
                <c:pt idx="169">
                  <c:v>103.9659809551501</c:v>
                </c:pt>
                <c:pt idx="170">
                  <c:v>104.12444573671587</c:v>
                </c:pt>
                <c:pt idx="171">
                  <c:v>104.17096750745077</c:v>
                </c:pt>
                <c:pt idx="172">
                  <c:v>103.86712219233844</c:v>
                </c:pt>
                <c:pt idx="173">
                  <c:v>104.04448644326524</c:v>
                </c:pt>
                <c:pt idx="174">
                  <c:v>104.26691865959148</c:v>
                </c:pt>
                <c:pt idx="175">
                  <c:v>104.37013883840953</c:v>
                </c:pt>
                <c:pt idx="176">
                  <c:v>103.88892927237043</c:v>
                </c:pt>
                <c:pt idx="177">
                  <c:v>103.928182016428</c:v>
                </c:pt>
                <c:pt idx="178">
                  <c:v>103.44842625572437</c:v>
                </c:pt>
                <c:pt idx="179">
                  <c:v>103.54146979719417</c:v>
                </c:pt>
                <c:pt idx="180">
                  <c:v>103.40481209566039</c:v>
                </c:pt>
                <c:pt idx="181">
                  <c:v>103.46296430907901</c:v>
                </c:pt>
                <c:pt idx="182">
                  <c:v>102.92069491895035</c:v>
                </c:pt>
                <c:pt idx="183">
                  <c:v>102.92214872428582</c:v>
                </c:pt>
                <c:pt idx="184">
                  <c:v>102.74478447335902</c:v>
                </c:pt>
                <c:pt idx="185">
                  <c:v>103.10242058588355</c:v>
                </c:pt>
                <c:pt idx="186">
                  <c:v>103.01664607109109</c:v>
                </c:pt>
                <c:pt idx="187">
                  <c:v>103.16638802064404</c:v>
                </c:pt>
                <c:pt idx="188">
                  <c:v>103.09951297521263</c:v>
                </c:pt>
                <c:pt idx="189">
                  <c:v>103.48913280511741</c:v>
                </c:pt>
                <c:pt idx="190">
                  <c:v>103.4600566984081</c:v>
                </c:pt>
                <c:pt idx="191">
                  <c:v>103.68103510939886</c:v>
                </c:pt>
                <c:pt idx="192">
                  <c:v>103.69411935741803</c:v>
                </c:pt>
                <c:pt idx="193">
                  <c:v>103.55164643454242</c:v>
                </c:pt>
                <c:pt idx="194">
                  <c:v>103.92382060042161</c:v>
                </c:pt>
              </c:numCache>
            </c:numRef>
          </c:val>
          <c:smooth val="0"/>
        </c:ser>
        <c:ser>
          <c:idx val="4"/>
          <c:order val="4"/>
          <c:tx>
            <c:strRef>
              <c:f>Currency!$S$68</c:f>
              <c:strCache>
                <c:ptCount val="1"/>
                <c:pt idx="0">
                  <c:v>Rand</c:v>
                </c:pt>
              </c:strCache>
            </c:strRef>
          </c:tx>
          <c:spPr>
            <a:ln w="28575" cap="rnd">
              <a:solidFill>
                <a:schemeClr val="accent5"/>
              </a:solidFill>
              <a:round/>
            </a:ln>
            <a:effectLst/>
          </c:spPr>
          <c:marker>
            <c:symbol val="none"/>
          </c:marker>
          <c:cat>
            <c:numRef>
              <c:f>Currency!$N$266:$N$460</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Currency!$S$266:$S$460</c:f>
              <c:numCache>
                <c:formatCode>0.00</c:formatCode>
                <c:ptCount val="195"/>
                <c:pt idx="0">
                  <c:v>99.600867799627295</c:v>
                </c:pt>
                <c:pt idx="1">
                  <c:v>100.15228214613524</c:v>
                </c:pt>
                <c:pt idx="2">
                  <c:v>99.32064083664784</c:v>
                </c:pt>
                <c:pt idx="3">
                  <c:v>97.062136678441306</c:v>
                </c:pt>
                <c:pt idx="4">
                  <c:v>96.331321447445276</c:v>
                </c:pt>
                <c:pt idx="5">
                  <c:v>96.787472533585515</c:v>
                </c:pt>
                <c:pt idx="6">
                  <c:v>96.475954718660475</c:v>
                </c:pt>
                <c:pt idx="7">
                  <c:v>96.372347231107284</c:v>
                </c:pt>
                <c:pt idx="8">
                  <c:v>96.209634800990187</c:v>
                </c:pt>
                <c:pt idx="9">
                  <c:v>95.716630044780686</c:v>
                </c:pt>
                <c:pt idx="10">
                  <c:v>95.939142769727141</c:v>
                </c:pt>
                <c:pt idx="11">
                  <c:v>94.999026506828372</c:v>
                </c:pt>
                <c:pt idx="12">
                  <c:v>95.619280727616612</c:v>
                </c:pt>
                <c:pt idx="13">
                  <c:v>96.275693266208663</c:v>
                </c:pt>
                <c:pt idx="14">
                  <c:v>96.132450699524369</c:v>
                </c:pt>
                <c:pt idx="15">
                  <c:v>96.784691124523675</c:v>
                </c:pt>
                <c:pt idx="16">
                  <c:v>96.115066892887938</c:v>
                </c:pt>
                <c:pt idx="17">
                  <c:v>95.638055238783977</c:v>
                </c:pt>
                <c:pt idx="18">
                  <c:v>94.591550079270164</c:v>
                </c:pt>
                <c:pt idx="19">
                  <c:v>95.215976413651148</c:v>
                </c:pt>
                <c:pt idx="20">
                  <c:v>94.536617250299003</c:v>
                </c:pt>
                <c:pt idx="21">
                  <c:v>94.409367785720249</c:v>
                </c:pt>
                <c:pt idx="22">
                  <c:v>92.575028509442888</c:v>
                </c:pt>
                <c:pt idx="23">
                  <c:v>92.520095680471726</c:v>
                </c:pt>
                <c:pt idx="24">
                  <c:v>93.340611353711793</c:v>
                </c:pt>
                <c:pt idx="25">
                  <c:v>92.909492949128023</c:v>
                </c:pt>
                <c:pt idx="26">
                  <c:v>94.226490139904882</c:v>
                </c:pt>
                <c:pt idx="27">
                  <c:v>95.02962200650849</c:v>
                </c:pt>
                <c:pt idx="28">
                  <c:v>94.643701499179485</c:v>
                </c:pt>
                <c:pt idx="29">
                  <c:v>96.16721831279726</c:v>
                </c:pt>
                <c:pt idx="30">
                  <c:v>95.828581759519366</c:v>
                </c:pt>
                <c:pt idx="31">
                  <c:v>97.251967846911242</c:v>
                </c:pt>
                <c:pt idx="32">
                  <c:v>98.65171195727757</c:v>
                </c:pt>
                <c:pt idx="33">
                  <c:v>98.32420104024699</c:v>
                </c:pt>
                <c:pt idx="34">
                  <c:v>98.25397046143577</c:v>
                </c:pt>
                <c:pt idx="35">
                  <c:v>97.878480238088613</c:v>
                </c:pt>
                <c:pt idx="36">
                  <c:v>97.356966038995353</c:v>
                </c:pt>
                <c:pt idx="37">
                  <c:v>97.579478763941808</c:v>
                </c:pt>
                <c:pt idx="38">
                  <c:v>97.007899201735597</c:v>
                </c:pt>
                <c:pt idx="39">
                  <c:v>96.196423107946487</c:v>
                </c:pt>
                <c:pt idx="40">
                  <c:v>96.420326537423861</c:v>
                </c:pt>
                <c:pt idx="41">
                  <c:v>96.802074931160135</c:v>
                </c:pt>
                <c:pt idx="42">
                  <c:v>97.820070647790175</c:v>
                </c:pt>
                <c:pt idx="43">
                  <c:v>98.860317636914857</c:v>
                </c:pt>
                <c:pt idx="44">
                  <c:v>98.851278057463915</c:v>
                </c:pt>
                <c:pt idx="45">
                  <c:v>98.497343754345962</c:v>
                </c:pt>
                <c:pt idx="46">
                  <c:v>99.061969793897589</c:v>
                </c:pt>
                <c:pt idx="47">
                  <c:v>100.84763441159292</c:v>
                </c:pt>
                <c:pt idx="48">
                  <c:v>100.27188273579395</c:v>
                </c:pt>
                <c:pt idx="49">
                  <c:v>99.700303173587741</c:v>
                </c:pt>
                <c:pt idx="50">
                  <c:v>99.744110366311574</c:v>
                </c:pt>
                <c:pt idx="51">
                  <c:v>100.36505993936528</c:v>
                </c:pt>
                <c:pt idx="52">
                  <c:v>100.91508358134232</c:v>
                </c:pt>
                <c:pt idx="53">
                  <c:v>100.21903596361916</c:v>
                </c:pt>
                <c:pt idx="54">
                  <c:v>100.41442995021276</c:v>
                </c:pt>
                <c:pt idx="55">
                  <c:v>100.56949350540985</c:v>
                </c:pt>
                <c:pt idx="56">
                  <c:v>99.707952048507778</c:v>
                </c:pt>
                <c:pt idx="57">
                  <c:v>98.868661864100361</c:v>
                </c:pt>
                <c:pt idx="58">
                  <c:v>100.73151058326148</c:v>
                </c:pt>
                <c:pt idx="59">
                  <c:v>99.637026117431091</c:v>
                </c:pt>
                <c:pt idx="60">
                  <c:v>100.18844046393905</c:v>
                </c:pt>
                <c:pt idx="61">
                  <c:v>101.34620198592607</c:v>
                </c:pt>
                <c:pt idx="62">
                  <c:v>101.40252551942814</c:v>
                </c:pt>
                <c:pt idx="63">
                  <c:v>100.27883625844854</c:v>
                </c:pt>
                <c:pt idx="64">
                  <c:v>98.767835785608995</c:v>
                </c:pt>
                <c:pt idx="65">
                  <c:v>98.910383000027821</c:v>
                </c:pt>
                <c:pt idx="66">
                  <c:v>98.356187244458056</c:v>
                </c:pt>
                <c:pt idx="67">
                  <c:v>98.180958473562711</c:v>
                </c:pt>
                <c:pt idx="68">
                  <c:v>97.960531805412614</c:v>
                </c:pt>
                <c:pt idx="69">
                  <c:v>97.950101521430753</c:v>
                </c:pt>
                <c:pt idx="70">
                  <c:v>97.854142908797598</c:v>
                </c:pt>
                <c:pt idx="71">
                  <c:v>96.768002670152697</c:v>
                </c:pt>
                <c:pt idx="72">
                  <c:v>97.400077879453733</c:v>
                </c:pt>
                <c:pt idx="73">
                  <c:v>96.996773565488269</c:v>
                </c:pt>
                <c:pt idx="74">
                  <c:v>97.611464968152859</c:v>
                </c:pt>
                <c:pt idx="75">
                  <c:v>97.491169026228704</c:v>
                </c:pt>
                <c:pt idx="76">
                  <c:v>97.331238005173432</c:v>
                </c:pt>
                <c:pt idx="77">
                  <c:v>97.820070647790175</c:v>
                </c:pt>
                <c:pt idx="78">
                  <c:v>97.872917419964949</c:v>
                </c:pt>
                <c:pt idx="79">
                  <c:v>98.460490084276699</c:v>
                </c:pt>
                <c:pt idx="80">
                  <c:v>99.522292993630572</c:v>
                </c:pt>
                <c:pt idx="81">
                  <c:v>100.5305537785442</c:v>
                </c:pt>
                <c:pt idx="82">
                  <c:v>100.42694629099103</c:v>
                </c:pt>
                <c:pt idx="83">
                  <c:v>99.770533752398975</c:v>
                </c:pt>
                <c:pt idx="84">
                  <c:v>99.446499596695688</c:v>
                </c:pt>
                <c:pt idx="85">
                  <c:v>99.650933162740245</c:v>
                </c:pt>
                <c:pt idx="86">
                  <c:v>99.922815898534196</c:v>
                </c:pt>
                <c:pt idx="87">
                  <c:v>101.01104219397547</c:v>
                </c:pt>
                <c:pt idx="88">
                  <c:v>99.862320251439371</c:v>
                </c:pt>
                <c:pt idx="89">
                  <c:v>100.80591327566546</c:v>
                </c:pt>
                <c:pt idx="90">
                  <c:v>100.44085333630018</c:v>
                </c:pt>
                <c:pt idx="91">
                  <c:v>100.05562818123661</c:v>
                </c:pt>
                <c:pt idx="92">
                  <c:v>99.664144855783945</c:v>
                </c:pt>
                <c:pt idx="93">
                  <c:v>98.509164742858729</c:v>
                </c:pt>
                <c:pt idx="94">
                  <c:v>99.933941534781525</c:v>
                </c:pt>
                <c:pt idx="95">
                  <c:v>98.943759908769792</c:v>
                </c:pt>
                <c:pt idx="96">
                  <c:v>98.856145523322112</c:v>
                </c:pt>
                <c:pt idx="97">
                  <c:v>98.997302033210019</c:v>
                </c:pt>
                <c:pt idx="98">
                  <c:v>100.27396879259034</c:v>
                </c:pt>
                <c:pt idx="99">
                  <c:v>100.03824437460015</c:v>
                </c:pt>
                <c:pt idx="100">
                  <c:v>100.0312908519456</c:v>
                </c:pt>
                <c:pt idx="101">
                  <c:v>100.05215141990934</c:v>
                </c:pt>
                <c:pt idx="102">
                  <c:v>100.47909771090036</c:v>
                </c:pt>
                <c:pt idx="103">
                  <c:v>100.26701526993575</c:v>
                </c:pt>
                <c:pt idx="104">
                  <c:v>100.42416488192917</c:v>
                </c:pt>
                <c:pt idx="105">
                  <c:v>102.46154701972019</c:v>
                </c:pt>
                <c:pt idx="106">
                  <c:v>102.32039050983228</c:v>
                </c:pt>
                <c:pt idx="107">
                  <c:v>102.16532695463523</c:v>
                </c:pt>
                <c:pt idx="108">
                  <c:v>101.58470781297805</c:v>
                </c:pt>
                <c:pt idx="109">
                  <c:v>100.75515256028704</c:v>
                </c:pt>
                <c:pt idx="110">
                  <c:v>102.51300308736407</c:v>
                </c:pt>
                <c:pt idx="111">
                  <c:v>103.27928128389843</c:v>
                </c:pt>
                <c:pt idx="112">
                  <c:v>104.1832392289934</c:v>
                </c:pt>
                <c:pt idx="113">
                  <c:v>104.04138736684006</c:v>
                </c:pt>
                <c:pt idx="114">
                  <c:v>103.07693377465024</c:v>
                </c:pt>
                <c:pt idx="115">
                  <c:v>102.1903596361917</c:v>
                </c:pt>
                <c:pt idx="116">
                  <c:v>103.21044140961813</c:v>
                </c:pt>
                <c:pt idx="117">
                  <c:v>103.47606597502295</c:v>
                </c:pt>
                <c:pt idx="118">
                  <c:v>103.09501293355214</c:v>
                </c:pt>
                <c:pt idx="119">
                  <c:v>102.82799766361639</c:v>
                </c:pt>
                <c:pt idx="120">
                  <c:v>100.94637443328791</c:v>
                </c:pt>
                <c:pt idx="121">
                  <c:v>100.69257085639585</c:v>
                </c:pt>
                <c:pt idx="122">
                  <c:v>99.462492698801213</c:v>
                </c:pt>
                <c:pt idx="123">
                  <c:v>99.899869273774087</c:v>
                </c:pt>
                <c:pt idx="124">
                  <c:v>99.988179011487219</c:v>
                </c:pt>
                <c:pt idx="125">
                  <c:v>99.614774844936434</c:v>
                </c:pt>
                <c:pt idx="126">
                  <c:v>98.859622284649404</c:v>
                </c:pt>
                <c:pt idx="127">
                  <c:v>98.418073596083772</c:v>
                </c:pt>
                <c:pt idx="128">
                  <c:v>98.098906906238696</c:v>
                </c:pt>
                <c:pt idx="129">
                  <c:v>98.551581231051657</c:v>
                </c:pt>
                <c:pt idx="130">
                  <c:v>98.060662531638528</c:v>
                </c:pt>
                <c:pt idx="131">
                  <c:v>97.696993296804166</c:v>
                </c:pt>
                <c:pt idx="132">
                  <c:v>97.60312074096737</c:v>
                </c:pt>
                <c:pt idx="133">
                  <c:v>98.607904764553723</c:v>
                </c:pt>
                <c:pt idx="134">
                  <c:v>98.362445414847173</c:v>
                </c:pt>
                <c:pt idx="135">
                  <c:v>98.539760242538875</c:v>
                </c:pt>
                <c:pt idx="136">
                  <c:v>97.364614913915389</c:v>
                </c:pt>
                <c:pt idx="137">
                  <c:v>96.941145384251655</c:v>
                </c:pt>
                <c:pt idx="138">
                  <c:v>97.043362167273941</c:v>
                </c:pt>
                <c:pt idx="139">
                  <c:v>96.820154090062033</c:v>
                </c:pt>
                <c:pt idx="140">
                  <c:v>96.937668622924363</c:v>
                </c:pt>
                <c:pt idx="141">
                  <c:v>97.160181347870832</c:v>
                </c:pt>
                <c:pt idx="142">
                  <c:v>96.446054571245796</c:v>
                </c:pt>
                <c:pt idx="143">
                  <c:v>96.613634467221104</c:v>
                </c:pt>
                <c:pt idx="144">
                  <c:v>96.410591605707452</c:v>
                </c:pt>
                <c:pt idx="145">
                  <c:v>96.705420966261499</c:v>
                </c:pt>
                <c:pt idx="146">
                  <c:v>96.459961616554949</c:v>
                </c:pt>
                <c:pt idx="147">
                  <c:v>98.032153088754768</c:v>
                </c:pt>
                <c:pt idx="148">
                  <c:v>99.434678608182907</c:v>
                </c:pt>
                <c:pt idx="149">
                  <c:v>98.65727477540122</c:v>
                </c:pt>
                <c:pt idx="150">
                  <c:v>98.85545017105666</c:v>
                </c:pt>
                <c:pt idx="151">
                  <c:v>98.543237003866153</c:v>
                </c:pt>
                <c:pt idx="152">
                  <c:v>100.8330320140183</c:v>
                </c:pt>
                <c:pt idx="153">
                  <c:v>102.11734764831863</c:v>
                </c:pt>
                <c:pt idx="154">
                  <c:v>103.90370761827943</c:v>
                </c:pt>
                <c:pt idx="155">
                  <c:v>104.22148360359358</c:v>
                </c:pt>
                <c:pt idx="156">
                  <c:v>104.64217172419548</c:v>
                </c:pt>
                <c:pt idx="157">
                  <c:v>104.48084999860929</c:v>
                </c:pt>
                <c:pt idx="158">
                  <c:v>106.01827385753624</c:v>
                </c:pt>
                <c:pt idx="159">
                  <c:v>106.35830111534503</c:v>
                </c:pt>
                <c:pt idx="160">
                  <c:v>105.11918337829944</c:v>
                </c:pt>
                <c:pt idx="161">
                  <c:v>107.09398381219926</c:v>
                </c:pt>
                <c:pt idx="162">
                  <c:v>105.90632214279753</c:v>
                </c:pt>
                <c:pt idx="163">
                  <c:v>106.07390203877284</c:v>
                </c:pt>
                <c:pt idx="164">
                  <c:v>107.36517119572775</c:v>
                </c:pt>
                <c:pt idx="165">
                  <c:v>106.78663811086697</c:v>
                </c:pt>
                <c:pt idx="166">
                  <c:v>105.74291436041499</c:v>
                </c:pt>
                <c:pt idx="167">
                  <c:v>105.87085917725921</c:v>
                </c:pt>
                <c:pt idx="168">
                  <c:v>106.22409812811169</c:v>
                </c:pt>
                <c:pt idx="169">
                  <c:v>106.0502600617473</c:v>
                </c:pt>
                <c:pt idx="170">
                  <c:v>107.00636942675159</c:v>
                </c:pt>
                <c:pt idx="171">
                  <c:v>106.68789808917198</c:v>
                </c:pt>
                <c:pt idx="172">
                  <c:v>106.33744054738131</c:v>
                </c:pt>
                <c:pt idx="173">
                  <c:v>105.66294884988736</c:v>
                </c:pt>
                <c:pt idx="174">
                  <c:v>105.81523099602259</c:v>
                </c:pt>
                <c:pt idx="175">
                  <c:v>105.18037437765972</c:v>
                </c:pt>
                <c:pt idx="176">
                  <c:v>102.72299947153228</c:v>
                </c:pt>
                <c:pt idx="177">
                  <c:v>103.39540511222987</c:v>
                </c:pt>
                <c:pt idx="178">
                  <c:v>102.7376018691069</c:v>
                </c:pt>
                <c:pt idx="179">
                  <c:v>102.58879648429895</c:v>
                </c:pt>
                <c:pt idx="180">
                  <c:v>101.84268350346287</c:v>
                </c:pt>
                <c:pt idx="181">
                  <c:v>102.39757461129808</c:v>
                </c:pt>
                <c:pt idx="182">
                  <c:v>101.49083525714127</c:v>
                </c:pt>
                <c:pt idx="183">
                  <c:v>101.28918310015852</c:v>
                </c:pt>
                <c:pt idx="184">
                  <c:v>101.87258365087753</c:v>
                </c:pt>
                <c:pt idx="185">
                  <c:v>102.59296859789168</c:v>
                </c:pt>
                <c:pt idx="186">
                  <c:v>101.62781965343643</c:v>
                </c:pt>
                <c:pt idx="187">
                  <c:v>102.51856590548772</c:v>
                </c:pt>
                <c:pt idx="188">
                  <c:v>104.06920145745835</c:v>
                </c:pt>
                <c:pt idx="189">
                  <c:v>103.45103329346648</c:v>
                </c:pt>
                <c:pt idx="190">
                  <c:v>103.67841348427113</c:v>
                </c:pt>
                <c:pt idx="191">
                  <c:v>104.43843351041637</c:v>
                </c:pt>
                <c:pt idx="192">
                  <c:v>104.45859872611464</c:v>
                </c:pt>
                <c:pt idx="193">
                  <c:v>105.55655995327233</c:v>
                </c:pt>
                <c:pt idx="194">
                  <c:v>105.48911078352295</c:v>
                </c:pt>
              </c:numCache>
            </c:numRef>
          </c:val>
          <c:smooth val="0"/>
        </c:ser>
        <c:ser>
          <c:idx val="5"/>
          <c:order val="5"/>
          <c:tx>
            <c:strRef>
              <c:f>Currency!$T$68</c:f>
              <c:strCache>
                <c:ptCount val="1"/>
                <c:pt idx="0">
                  <c:v>Won</c:v>
                </c:pt>
              </c:strCache>
            </c:strRef>
          </c:tx>
          <c:spPr>
            <a:ln w="28575" cap="rnd">
              <a:solidFill>
                <a:schemeClr val="accent6"/>
              </a:solidFill>
              <a:round/>
            </a:ln>
            <a:effectLst/>
          </c:spPr>
          <c:marker>
            <c:symbol val="none"/>
          </c:marker>
          <c:cat>
            <c:numRef>
              <c:f>Currency!$N$266:$N$460</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Currency!$T$266:$T$460</c:f>
              <c:numCache>
                <c:formatCode>0.00</c:formatCode>
                <c:ptCount val="195"/>
                <c:pt idx="0">
                  <c:v>99.900315219441239</c:v>
                </c:pt>
                <c:pt idx="1">
                  <c:v>100.56937072859695</c:v>
                </c:pt>
                <c:pt idx="2">
                  <c:v>101.04175085989348</c:v>
                </c:pt>
                <c:pt idx="3">
                  <c:v>100.31970974665695</c:v>
                </c:pt>
                <c:pt idx="4">
                  <c:v>100.28378730321236</c:v>
                </c:pt>
                <c:pt idx="5">
                  <c:v>100.90793975806234</c:v>
                </c:pt>
                <c:pt idx="6">
                  <c:v>100.49842390279386</c:v>
                </c:pt>
                <c:pt idx="7">
                  <c:v>100.33677290729315</c:v>
                </c:pt>
                <c:pt idx="8">
                  <c:v>100.40951585526847</c:v>
                </c:pt>
                <c:pt idx="9">
                  <c:v>100.70318183042811</c:v>
                </c:pt>
                <c:pt idx="10">
                  <c:v>100.97709046169321</c:v>
                </c:pt>
                <c:pt idx="11">
                  <c:v>100.61247766073048</c:v>
                </c:pt>
                <c:pt idx="12">
                  <c:v>100.95014862910973</c:v>
                </c:pt>
                <c:pt idx="13">
                  <c:v>101.05522177618522</c:v>
                </c:pt>
                <c:pt idx="14">
                  <c:v>101.64614597084893</c:v>
                </c:pt>
                <c:pt idx="15">
                  <c:v>101.46294150928145</c:v>
                </c:pt>
                <c:pt idx="16">
                  <c:v>101.30488275812522</c:v>
                </c:pt>
                <c:pt idx="17">
                  <c:v>101.41893651606182</c:v>
                </c:pt>
                <c:pt idx="18">
                  <c:v>100.47597237564099</c:v>
                </c:pt>
                <c:pt idx="19">
                  <c:v>100.5352444073246</c:v>
                </c:pt>
                <c:pt idx="20">
                  <c:v>100.37359341182388</c:v>
                </c:pt>
                <c:pt idx="21">
                  <c:v>100.40771973309623</c:v>
                </c:pt>
                <c:pt idx="22">
                  <c:v>100.01347091629174</c:v>
                </c:pt>
                <c:pt idx="23">
                  <c:v>100.53165216298012</c:v>
                </c:pt>
                <c:pt idx="24">
                  <c:v>100.59541450009431</c:v>
                </c:pt>
                <c:pt idx="25">
                  <c:v>100.4113119774407</c:v>
                </c:pt>
                <c:pt idx="26">
                  <c:v>100.61786602724719</c:v>
                </c:pt>
                <c:pt idx="27">
                  <c:v>101.0471392264102</c:v>
                </c:pt>
                <c:pt idx="28">
                  <c:v>100.93667771281802</c:v>
                </c:pt>
                <c:pt idx="29">
                  <c:v>101.1917270612747</c:v>
                </c:pt>
                <c:pt idx="30">
                  <c:v>100.78310926709236</c:v>
                </c:pt>
                <c:pt idx="31">
                  <c:v>100.99864392775997</c:v>
                </c:pt>
                <c:pt idx="32">
                  <c:v>101.27883898662786</c:v>
                </c:pt>
                <c:pt idx="33">
                  <c:v>101.16388716760514</c:v>
                </c:pt>
                <c:pt idx="34">
                  <c:v>101.13963951828005</c:v>
                </c:pt>
                <c:pt idx="35">
                  <c:v>100.83878905443146</c:v>
                </c:pt>
                <c:pt idx="36">
                  <c:v>100.70857019694482</c:v>
                </c:pt>
                <c:pt idx="37">
                  <c:v>101.19082900018859</c:v>
                </c:pt>
                <c:pt idx="38">
                  <c:v>100.75796355668115</c:v>
                </c:pt>
                <c:pt idx="39">
                  <c:v>100.24606873759554</c:v>
                </c:pt>
                <c:pt idx="40">
                  <c:v>100.32420005208753</c:v>
                </c:pt>
                <c:pt idx="41">
                  <c:v>100.45801115391868</c:v>
                </c:pt>
                <c:pt idx="42">
                  <c:v>101.06240626487413</c:v>
                </c:pt>
                <c:pt idx="43">
                  <c:v>101.19801348887751</c:v>
                </c:pt>
                <c:pt idx="44">
                  <c:v>101.22405726037486</c:v>
                </c:pt>
                <c:pt idx="45">
                  <c:v>101.23303787123601</c:v>
                </c:pt>
                <c:pt idx="46">
                  <c:v>101.27524674228341</c:v>
                </c:pt>
                <c:pt idx="47">
                  <c:v>101.74583075140771</c:v>
                </c:pt>
                <c:pt idx="48">
                  <c:v>101.72966565185763</c:v>
                </c:pt>
                <c:pt idx="49">
                  <c:v>101.68655871972412</c:v>
                </c:pt>
                <c:pt idx="50">
                  <c:v>101.36415478980881</c:v>
                </c:pt>
                <c:pt idx="51">
                  <c:v>101.61381577174879</c:v>
                </c:pt>
                <c:pt idx="52">
                  <c:v>102.06464243697857</c:v>
                </c:pt>
                <c:pt idx="53">
                  <c:v>101.97573438945318</c:v>
                </c:pt>
                <c:pt idx="54">
                  <c:v>101.7269714685993</c:v>
                </c:pt>
                <c:pt idx="55">
                  <c:v>101.46024732602312</c:v>
                </c:pt>
                <c:pt idx="56">
                  <c:v>101.4297132490952</c:v>
                </c:pt>
                <c:pt idx="57">
                  <c:v>101.50155813598441</c:v>
                </c:pt>
                <c:pt idx="58">
                  <c:v>102.09427845282035</c:v>
                </c:pt>
                <c:pt idx="59">
                  <c:v>101.75211717901051</c:v>
                </c:pt>
                <c:pt idx="60">
                  <c:v>101.99010336683101</c:v>
                </c:pt>
                <c:pt idx="61">
                  <c:v>102.26940036461281</c:v>
                </c:pt>
                <c:pt idx="62">
                  <c:v>102.10595324693985</c:v>
                </c:pt>
                <c:pt idx="63">
                  <c:v>102.18228843925962</c:v>
                </c:pt>
                <c:pt idx="64">
                  <c:v>101.92095266320015</c:v>
                </c:pt>
                <c:pt idx="65">
                  <c:v>102.22719149356539</c:v>
                </c:pt>
                <c:pt idx="66">
                  <c:v>101.88143797541109</c:v>
                </c:pt>
                <c:pt idx="67">
                  <c:v>102.10056488042318</c:v>
                </c:pt>
                <c:pt idx="68">
                  <c:v>102.17779813382906</c:v>
                </c:pt>
                <c:pt idx="69">
                  <c:v>102.69418325834523</c:v>
                </c:pt>
                <c:pt idx="70">
                  <c:v>102.42386687142459</c:v>
                </c:pt>
                <c:pt idx="71">
                  <c:v>102.14277375147056</c:v>
                </c:pt>
                <c:pt idx="72">
                  <c:v>102.52444971306946</c:v>
                </c:pt>
                <c:pt idx="73">
                  <c:v>101.84012716544979</c:v>
                </c:pt>
                <c:pt idx="74">
                  <c:v>101.88323409758333</c:v>
                </c:pt>
                <c:pt idx="75">
                  <c:v>102.13648732386777</c:v>
                </c:pt>
                <c:pt idx="76">
                  <c:v>101.73864626271877</c:v>
                </c:pt>
                <c:pt idx="77">
                  <c:v>102.12840477409273</c:v>
                </c:pt>
                <c:pt idx="78">
                  <c:v>102.05566182611743</c:v>
                </c:pt>
                <c:pt idx="79">
                  <c:v>102.49391563614157</c:v>
                </c:pt>
                <c:pt idx="80">
                  <c:v>102.69418325834523</c:v>
                </c:pt>
                <c:pt idx="81">
                  <c:v>103.99637183321208</c:v>
                </c:pt>
                <c:pt idx="82">
                  <c:v>104.29183393054396</c:v>
                </c:pt>
                <c:pt idx="83">
                  <c:v>104.05115355946511</c:v>
                </c:pt>
                <c:pt idx="84">
                  <c:v>104.18047435586568</c:v>
                </c:pt>
                <c:pt idx="85">
                  <c:v>104.61064561611479</c:v>
                </c:pt>
                <c:pt idx="86">
                  <c:v>104.40858187173892</c:v>
                </c:pt>
                <c:pt idx="87">
                  <c:v>104.84144731524638</c:v>
                </c:pt>
                <c:pt idx="88">
                  <c:v>104.72290325187919</c:v>
                </c:pt>
                <c:pt idx="89">
                  <c:v>105.07224901437795</c:v>
                </c:pt>
                <c:pt idx="90">
                  <c:v>105.3596285619348</c:v>
                </c:pt>
                <c:pt idx="91">
                  <c:v>105.29766234699285</c:v>
                </c:pt>
                <c:pt idx="92">
                  <c:v>106.0996308968936</c:v>
                </c:pt>
                <c:pt idx="93">
                  <c:v>105.81853777693959</c:v>
                </c:pt>
                <c:pt idx="94">
                  <c:v>106.81718170469956</c:v>
                </c:pt>
                <c:pt idx="95">
                  <c:v>106.52890409605662</c:v>
                </c:pt>
                <c:pt idx="96">
                  <c:v>106.65373458702661</c:v>
                </c:pt>
                <c:pt idx="97">
                  <c:v>107.00038616626703</c:v>
                </c:pt>
                <c:pt idx="98">
                  <c:v>107.29854244685724</c:v>
                </c:pt>
                <c:pt idx="99">
                  <c:v>107.17550807805947</c:v>
                </c:pt>
                <c:pt idx="100">
                  <c:v>107.11084767985919</c:v>
                </c:pt>
                <c:pt idx="101">
                  <c:v>106.98601718888918</c:v>
                </c:pt>
                <c:pt idx="102">
                  <c:v>106.78844374994387</c:v>
                </c:pt>
                <c:pt idx="103">
                  <c:v>106.4983700191287</c:v>
                </c:pt>
                <c:pt idx="104">
                  <c:v>106.35018993991972</c:v>
                </c:pt>
                <c:pt idx="105">
                  <c:v>106.77048252822159</c:v>
                </c:pt>
                <c:pt idx="106">
                  <c:v>107.31829979075175</c:v>
                </c:pt>
                <c:pt idx="107">
                  <c:v>106.80730303275227</c:v>
                </c:pt>
                <c:pt idx="108">
                  <c:v>106.89980332462214</c:v>
                </c:pt>
                <c:pt idx="109">
                  <c:v>106.09514059146304</c:v>
                </c:pt>
                <c:pt idx="110">
                  <c:v>106.04305304846835</c:v>
                </c:pt>
                <c:pt idx="111">
                  <c:v>105.98467907787088</c:v>
                </c:pt>
                <c:pt idx="112">
                  <c:v>105.90115939686217</c:v>
                </c:pt>
                <c:pt idx="113">
                  <c:v>106.08975222494634</c:v>
                </c:pt>
                <c:pt idx="114">
                  <c:v>106.32504422950851</c:v>
                </c:pt>
                <c:pt idx="115">
                  <c:v>106.01521315479879</c:v>
                </c:pt>
                <c:pt idx="116">
                  <c:v>106.32504422950851</c:v>
                </c:pt>
                <c:pt idx="117">
                  <c:v>106.27295668651379</c:v>
                </c:pt>
                <c:pt idx="118">
                  <c:v>106.62589469335704</c:v>
                </c:pt>
                <c:pt idx="119">
                  <c:v>106.53698664583165</c:v>
                </c:pt>
                <c:pt idx="120">
                  <c:v>105.48805129724923</c:v>
                </c:pt>
                <c:pt idx="121">
                  <c:v>105.62006627690815</c:v>
                </c:pt>
                <c:pt idx="122">
                  <c:v>104.07989151422082</c:v>
                </c:pt>
                <c:pt idx="123">
                  <c:v>104.12299844635433</c:v>
                </c:pt>
                <c:pt idx="124">
                  <c:v>103.83921114314197</c:v>
                </c:pt>
                <c:pt idx="125">
                  <c:v>103.7350360571526</c:v>
                </c:pt>
                <c:pt idx="126">
                  <c:v>103.6569047426606</c:v>
                </c:pt>
                <c:pt idx="127">
                  <c:v>104.00625050515934</c:v>
                </c:pt>
                <c:pt idx="128">
                  <c:v>104.04037682643173</c:v>
                </c:pt>
                <c:pt idx="129">
                  <c:v>104.57292705049798</c:v>
                </c:pt>
                <c:pt idx="130">
                  <c:v>104.74086447360149</c:v>
                </c:pt>
                <c:pt idx="131">
                  <c:v>105.06596258677516</c:v>
                </c:pt>
                <c:pt idx="132">
                  <c:v>104.90161740801609</c:v>
                </c:pt>
                <c:pt idx="133">
                  <c:v>105.45751722032134</c:v>
                </c:pt>
                <c:pt idx="134">
                  <c:v>105.9577372452874</c:v>
                </c:pt>
                <c:pt idx="135">
                  <c:v>106.13555334033819</c:v>
                </c:pt>
                <c:pt idx="136">
                  <c:v>105.62365852125262</c:v>
                </c:pt>
                <c:pt idx="137">
                  <c:v>105.47188619769918</c:v>
                </c:pt>
                <c:pt idx="138">
                  <c:v>105.77632890589217</c:v>
                </c:pt>
                <c:pt idx="139">
                  <c:v>106.02598988783217</c:v>
                </c:pt>
                <c:pt idx="140">
                  <c:v>105.96851397832081</c:v>
                </c:pt>
                <c:pt idx="141">
                  <c:v>105.99365968873202</c:v>
                </c:pt>
                <c:pt idx="142">
                  <c:v>105.63623137645823</c:v>
                </c:pt>
                <c:pt idx="143">
                  <c:v>105.47188619769918</c:v>
                </c:pt>
                <c:pt idx="144">
                  <c:v>105.66227514795557</c:v>
                </c:pt>
                <c:pt idx="145">
                  <c:v>105.9577372452874</c:v>
                </c:pt>
                <c:pt idx="146">
                  <c:v>105.80147461630341</c:v>
                </c:pt>
                <c:pt idx="147">
                  <c:v>106.09154834711856</c:v>
                </c:pt>
                <c:pt idx="148">
                  <c:v>106.24960709827482</c:v>
                </c:pt>
                <c:pt idx="149">
                  <c:v>106.36815116164202</c:v>
                </c:pt>
                <c:pt idx="150">
                  <c:v>106.14543201228548</c:v>
                </c:pt>
                <c:pt idx="151">
                  <c:v>106.26577219782489</c:v>
                </c:pt>
                <c:pt idx="152">
                  <c:v>106.57650133362071</c:v>
                </c:pt>
                <c:pt idx="153">
                  <c:v>108.16337527278606</c:v>
                </c:pt>
                <c:pt idx="154">
                  <c:v>109.58051566667567</c:v>
                </c:pt>
                <c:pt idx="155">
                  <c:v>109.03539258740378</c:v>
                </c:pt>
                <c:pt idx="156">
                  <c:v>109.08119370279567</c:v>
                </c:pt>
                <c:pt idx="157">
                  <c:v>108.36633707824808</c:v>
                </c:pt>
                <c:pt idx="158">
                  <c:v>109.12789287927365</c:v>
                </c:pt>
                <c:pt idx="159">
                  <c:v>109.52932618476707</c:v>
                </c:pt>
                <c:pt idx="160">
                  <c:v>108.45434706468735</c:v>
                </c:pt>
                <c:pt idx="161">
                  <c:v>109.38922865533314</c:v>
                </c:pt>
                <c:pt idx="162">
                  <c:v>109.0165333045954</c:v>
                </c:pt>
                <c:pt idx="163">
                  <c:v>108.42830329319</c:v>
                </c:pt>
                <c:pt idx="164">
                  <c:v>108.84679975931964</c:v>
                </c:pt>
                <c:pt idx="165">
                  <c:v>108.42740523210388</c:v>
                </c:pt>
                <c:pt idx="166">
                  <c:v>107.92718520713778</c:v>
                </c:pt>
                <c:pt idx="167">
                  <c:v>108.72466345160798</c:v>
                </c:pt>
                <c:pt idx="168">
                  <c:v>109.28505356934379</c:v>
                </c:pt>
                <c:pt idx="169">
                  <c:v>109.08119370279567</c:v>
                </c:pt>
                <c:pt idx="170">
                  <c:v>109.0479654426094</c:v>
                </c:pt>
                <c:pt idx="171">
                  <c:v>108.9401981122756</c:v>
                </c:pt>
                <c:pt idx="172">
                  <c:v>108.57378918914064</c:v>
                </c:pt>
                <c:pt idx="173">
                  <c:v>108.64383795385761</c:v>
                </c:pt>
                <c:pt idx="174">
                  <c:v>109.05155768695387</c:v>
                </c:pt>
                <c:pt idx="175">
                  <c:v>108.85937261452526</c:v>
                </c:pt>
                <c:pt idx="176">
                  <c:v>108.18492873885283</c:v>
                </c:pt>
                <c:pt idx="177">
                  <c:v>107.59669872744743</c:v>
                </c:pt>
                <c:pt idx="178">
                  <c:v>107.04259503731444</c:v>
                </c:pt>
                <c:pt idx="179">
                  <c:v>107.07761941967293</c:v>
                </c:pt>
                <c:pt idx="180">
                  <c:v>107.03092024319494</c:v>
                </c:pt>
                <c:pt idx="181">
                  <c:v>106.9869152499753</c:v>
                </c:pt>
                <c:pt idx="182">
                  <c:v>106.17686415029949</c:v>
                </c:pt>
                <c:pt idx="183">
                  <c:v>105.85805246472866</c:v>
                </c:pt>
                <c:pt idx="184">
                  <c:v>106.44718053722013</c:v>
                </c:pt>
                <c:pt idx="185">
                  <c:v>106.63667142639044</c:v>
                </c:pt>
                <c:pt idx="186">
                  <c:v>106.99499779975035</c:v>
                </c:pt>
                <c:pt idx="187">
                  <c:v>107.24376072060421</c:v>
                </c:pt>
                <c:pt idx="188">
                  <c:v>106.94380831784179</c:v>
                </c:pt>
                <c:pt idx="189">
                  <c:v>107.37667376134925</c:v>
                </c:pt>
                <c:pt idx="190">
                  <c:v>107.58143168898349</c:v>
                </c:pt>
                <c:pt idx="191">
                  <c:v>107.6775242251978</c:v>
                </c:pt>
                <c:pt idx="192">
                  <c:v>107.93616581799894</c:v>
                </c:pt>
                <c:pt idx="193">
                  <c:v>107.96490377275462</c:v>
                </c:pt>
                <c:pt idx="194">
                  <c:v>107.68470871388671</c:v>
                </c:pt>
              </c:numCache>
            </c:numRef>
          </c:val>
          <c:smooth val="0"/>
        </c:ser>
        <c:ser>
          <c:idx val="6"/>
          <c:order val="6"/>
          <c:tx>
            <c:strRef>
              <c:f>Currency!$U$68</c:f>
              <c:strCache>
                <c:ptCount val="1"/>
                <c:pt idx="0">
                  <c:v>Pound</c:v>
                </c:pt>
              </c:strCache>
            </c:strRef>
          </c:tx>
          <c:spPr>
            <a:ln w="28575" cap="rnd">
              <a:solidFill>
                <a:schemeClr val="accent1">
                  <a:lumMod val="60000"/>
                </a:schemeClr>
              </a:solidFill>
              <a:round/>
            </a:ln>
            <a:effectLst/>
          </c:spPr>
          <c:marker>
            <c:symbol val="none"/>
          </c:marker>
          <c:cat>
            <c:numRef>
              <c:f>Currency!$N$266:$N$460</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Currency!$U$266:$U$460</c:f>
              <c:numCache>
                <c:formatCode>0.00</c:formatCode>
                <c:ptCount val="195"/>
                <c:pt idx="0">
                  <c:v>99.987254652052002</c:v>
                </c:pt>
                <c:pt idx="1">
                  <c:v>101.27453479479991</c:v>
                </c:pt>
                <c:pt idx="2">
                  <c:v>100.80295692072394</c:v>
                </c:pt>
                <c:pt idx="3">
                  <c:v>100.15294417537599</c:v>
                </c:pt>
                <c:pt idx="4">
                  <c:v>99.745093041040022</c:v>
                </c:pt>
                <c:pt idx="5">
                  <c:v>100.178434871272</c:v>
                </c:pt>
                <c:pt idx="6">
                  <c:v>99.75783838898802</c:v>
                </c:pt>
                <c:pt idx="7">
                  <c:v>99.936273260260009</c:v>
                </c:pt>
                <c:pt idx="8">
                  <c:v>99.107825643640069</c:v>
                </c:pt>
                <c:pt idx="9">
                  <c:v>98.878409380576102</c:v>
                </c:pt>
                <c:pt idx="10">
                  <c:v>100.12745347948</c:v>
                </c:pt>
                <c:pt idx="11">
                  <c:v>99.158807035432076</c:v>
                </c:pt>
                <c:pt idx="12">
                  <c:v>98.330359418812137</c:v>
                </c:pt>
                <c:pt idx="13">
                  <c:v>98.878409380576102</c:v>
                </c:pt>
                <c:pt idx="14">
                  <c:v>98.827427988784095</c:v>
                </c:pt>
                <c:pt idx="15">
                  <c:v>98.30486872291614</c:v>
                </c:pt>
                <c:pt idx="16">
                  <c:v>97.540147846036191</c:v>
                </c:pt>
                <c:pt idx="17">
                  <c:v>97.909762936528168</c:v>
                </c:pt>
                <c:pt idx="18">
                  <c:v>96.737190925312262</c:v>
                </c:pt>
                <c:pt idx="19">
                  <c:v>96.775426969156257</c:v>
                </c:pt>
                <c:pt idx="20">
                  <c:v>97.043079276064233</c:v>
                </c:pt>
                <c:pt idx="21">
                  <c:v>97.5783838898802</c:v>
                </c:pt>
                <c:pt idx="22">
                  <c:v>97.132296711700235</c:v>
                </c:pt>
                <c:pt idx="23">
                  <c:v>97.399949018608211</c:v>
                </c:pt>
                <c:pt idx="24">
                  <c:v>97.705837369360182</c:v>
                </c:pt>
                <c:pt idx="25">
                  <c:v>98.44506755034412</c:v>
                </c:pt>
                <c:pt idx="26">
                  <c:v>98.419576854448138</c:v>
                </c:pt>
                <c:pt idx="27">
                  <c:v>98.317614070864138</c:v>
                </c:pt>
                <c:pt idx="28">
                  <c:v>98.572521029824117</c:v>
                </c:pt>
                <c:pt idx="29">
                  <c:v>99.184297731328073</c:v>
                </c:pt>
                <c:pt idx="30">
                  <c:v>98.878409380576102</c:v>
                </c:pt>
                <c:pt idx="31">
                  <c:v>99.13331633953608</c:v>
                </c:pt>
                <c:pt idx="32">
                  <c:v>99.553912821820049</c:v>
                </c:pt>
                <c:pt idx="33">
                  <c:v>99.018608208004082</c:v>
                </c:pt>
                <c:pt idx="34">
                  <c:v>98.610757073668125</c:v>
                </c:pt>
                <c:pt idx="35">
                  <c:v>97.591129237828198</c:v>
                </c:pt>
                <c:pt idx="36">
                  <c:v>97.387203670660213</c:v>
                </c:pt>
                <c:pt idx="37">
                  <c:v>97.756818761152189</c:v>
                </c:pt>
                <c:pt idx="38">
                  <c:v>97.527402498088207</c:v>
                </c:pt>
                <c:pt idx="39">
                  <c:v>97.41269436655621</c:v>
                </c:pt>
                <c:pt idx="40">
                  <c:v>96.163650267652301</c:v>
                </c:pt>
                <c:pt idx="41">
                  <c:v>95.819525873056349</c:v>
                </c:pt>
                <c:pt idx="42">
                  <c:v>96.074432832016328</c:v>
                </c:pt>
                <c:pt idx="43">
                  <c:v>96.520520010196279</c:v>
                </c:pt>
                <c:pt idx="44">
                  <c:v>96.68620953352027</c:v>
                </c:pt>
                <c:pt idx="45">
                  <c:v>96.902880448636253</c:v>
                </c:pt>
                <c:pt idx="46">
                  <c:v>96.813663013000266</c:v>
                </c:pt>
                <c:pt idx="47">
                  <c:v>97.081315319908242</c:v>
                </c:pt>
                <c:pt idx="48">
                  <c:v>97.96074432832016</c:v>
                </c:pt>
                <c:pt idx="49">
                  <c:v>96.979352536324242</c:v>
                </c:pt>
                <c:pt idx="50">
                  <c:v>97.489166454244213</c:v>
                </c:pt>
                <c:pt idx="51">
                  <c:v>96.533265358144277</c:v>
                </c:pt>
                <c:pt idx="52">
                  <c:v>96.138159571756304</c:v>
                </c:pt>
                <c:pt idx="53">
                  <c:v>95.934234004588333</c:v>
                </c:pt>
                <c:pt idx="54">
                  <c:v>96.303849095080309</c:v>
                </c:pt>
                <c:pt idx="55">
                  <c:v>96.048942136120331</c:v>
                </c:pt>
                <c:pt idx="56">
                  <c:v>96.737190925312262</c:v>
                </c:pt>
                <c:pt idx="57">
                  <c:v>97.565638541932202</c:v>
                </c:pt>
                <c:pt idx="58">
                  <c:v>96.571501401988286</c:v>
                </c:pt>
                <c:pt idx="59">
                  <c:v>96.673464185572271</c:v>
                </c:pt>
                <c:pt idx="60">
                  <c:v>96.418557226612293</c:v>
                </c:pt>
                <c:pt idx="61">
                  <c:v>96.418557226612293</c:v>
                </c:pt>
                <c:pt idx="62">
                  <c:v>97.514657150140209</c:v>
                </c:pt>
                <c:pt idx="63">
                  <c:v>98.075452459852158</c:v>
                </c:pt>
                <c:pt idx="64">
                  <c:v>97.145042059648233</c:v>
                </c:pt>
                <c:pt idx="65">
                  <c:v>97.4764211062962</c:v>
                </c:pt>
                <c:pt idx="66">
                  <c:v>96.775426969156257</c:v>
                </c:pt>
                <c:pt idx="67">
                  <c:v>97.425439714504208</c:v>
                </c:pt>
                <c:pt idx="68">
                  <c:v>97.92250828447618</c:v>
                </c:pt>
                <c:pt idx="69">
                  <c:v>97.591129237828198</c:v>
                </c:pt>
                <c:pt idx="70">
                  <c:v>97.782309457048171</c:v>
                </c:pt>
                <c:pt idx="71">
                  <c:v>97.208768799388238</c:v>
                </c:pt>
                <c:pt idx="72">
                  <c:v>97.540147846036191</c:v>
                </c:pt>
                <c:pt idx="73">
                  <c:v>97.387203670660213</c:v>
                </c:pt>
                <c:pt idx="74">
                  <c:v>97.234259495284221</c:v>
                </c:pt>
                <c:pt idx="75">
                  <c:v>97.654855977568189</c:v>
                </c:pt>
                <c:pt idx="76">
                  <c:v>97.756818761152189</c:v>
                </c:pt>
                <c:pt idx="77">
                  <c:v>98.177415243436144</c:v>
                </c:pt>
                <c:pt idx="78">
                  <c:v>98.049961763956162</c:v>
                </c:pt>
                <c:pt idx="79">
                  <c:v>98.151924547540148</c:v>
                </c:pt>
                <c:pt idx="80">
                  <c:v>98.44506755034412</c:v>
                </c:pt>
                <c:pt idx="81">
                  <c:v>98.636247769564122</c:v>
                </c:pt>
                <c:pt idx="82">
                  <c:v>98.7891919449401</c:v>
                </c:pt>
                <c:pt idx="83">
                  <c:v>98.559775681876118</c:v>
                </c:pt>
                <c:pt idx="84">
                  <c:v>98.54703033392812</c:v>
                </c:pt>
                <c:pt idx="85">
                  <c:v>97.731328065256193</c:v>
                </c:pt>
                <c:pt idx="86">
                  <c:v>97.438185062452206</c:v>
                </c:pt>
                <c:pt idx="87">
                  <c:v>97.858781544736189</c:v>
                </c:pt>
                <c:pt idx="88">
                  <c:v>96.941116492480262</c:v>
                </c:pt>
                <c:pt idx="89">
                  <c:v>97.297986235024212</c:v>
                </c:pt>
                <c:pt idx="90">
                  <c:v>97.603874585776197</c:v>
                </c:pt>
                <c:pt idx="91">
                  <c:v>97.998980372164169</c:v>
                </c:pt>
                <c:pt idx="92">
                  <c:v>97.884272240632171</c:v>
                </c:pt>
                <c:pt idx="93">
                  <c:v>97.846036196788177</c:v>
                </c:pt>
                <c:pt idx="94">
                  <c:v>98.432322202396122</c:v>
                </c:pt>
                <c:pt idx="95">
                  <c:v>98.674483813408102</c:v>
                </c:pt>
                <c:pt idx="96">
                  <c:v>99.082334947744073</c:v>
                </c:pt>
                <c:pt idx="97">
                  <c:v>99.604894213612027</c:v>
                </c:pt>
                <c:pt idx="98">
                  <c:v>100.11470813153198</c:v>
                </c:pt>
                <c:pt idx="99">
                  <c:v>100.178434871272</c:v>
                </c:pt>
                <c:pt idx="100">
                  <c:v>100.12745347948</c:v>
                </c:pt>
                <c:pt idx="101">
                  <c:v>100.56079530971196</c:v>
                </c:pt>
                <c:pt idx="102">
                  <c:v>100.53530461381595</c:v>
                </c:pt>
                <c:pt idx="103">
                  <c:v>100.24216161101198</c:v>
                </c:pt>
                <c:pt idx="104">
                  <c:v>100.50981391791996</c:v>
                </c:pt>
                <c:pt idx="105">
                  <c:v>100.62452204945195</c:v>
                </c:pt>
                <c:pt idx="106">
                  <c:v>101.00688248789191</c:v>
                </c:pt>
                <c:pt idx="107">
                  <c:v>101.08335457557993</c:v>
                </c:pt>
                <c:pt idx="108">
                  <c:v>100.91766505225593</c:v>
                </c:pt>
                <c:pt idx="109">
                  <c:v>100.86668366046393</c:v>
                </c:pt>
                <c:pt idx="110">
                  <c:v>100.45883252612798</c:v>
                </c:pt>
                <c:pt idx="111">
                  <c:v>100.43334183023198</c:v>
                </c:pt>
                <c:pt idx="112">
                  <c:v>100.28039765485599</c:v>
                </c:pt>
                <c:pt idx="113">
                  <c:v>99.987254652052002</c:v>
                </c:pt>
                <c:pt idx="114">
                  <c:v>100.44608717817998</c:v>
                </c:pt>
                <c:pt idx="115">
                  <c:v>100.14019882742799</c:v>
                </c:pt>
                <c:pt idx="116">
                  <c:v>100.44608717817998</c:v>
                </c:pt>
                <c:pt idx="117">
                  <c:v>100.52255926586795</c:v>
                </c:pt>
                <c:pt idx="118">
                  <c:v>101.19806270711192</c:v>
                </c:pt>
                <c:pt idx="119">
                  <c:v>101.49120570991587</c:v>
                </c:pt>
                <c:pt idx="120">
                  <c:v>101.52944175375988</c:v>
                </c:pt>
                <c:pt idx="121">
                  <c:v>100.87942900841193</c:v>
                </c:pt>
                <c:pt idx="122">
                  <c:v>100.31863369869998</c:v>
                </c:pt>
                <c:pt idx="123">
                  <c:v>100.30588835075199</c:v>
                </c:pt>
                <c:pt idx="124">
                  <c:v>100.06372673974001</c:v>
                </c:pt>
                <c:pt idx="125">
                  <c:v>100.40785113433597</c:v>
                </c:pt>
                <c:pt idx="126">
                  <c:v>100.36961509049198</c:v>
                </c:pt>
                <c:pt idx="127">
                  <c:v>100.53530461381595</c:v>
                </c:pt>
                <c:pt idx="128">
                  <c:v>100.39510578638797</c:v>
                </c:pt>
                <c:pt idx="129">
                  <c:v>100.86668366046393</c:v>
                </c:pt>
                <c:pt idx="130">
                  <c:v>101.03237318378793</c:v>
                </c:pt>
                <c:pt idx="131">
                  <c:v>101.35100688248791</c:v>
                </c:pt>
                <c:pt idx="132">
                  <c:v>101.2872801427479</c:v>
                </c:pt>
                <c:pt idx="133">
                  <c:v>101.87356614835585</c:v>
                </c:pt>
                <c:pt idx="134">
                  <c:v>101.82258475656387</c:v>
                </c:pt>
                <c:pt idx="135">
                  <c:v>102.23043589089984</c:v>
                </c:pt>
                <c:pt idx="136">
                  <c:v>101.84807545245987</c:v>
                </c:pt>
                <c:pt idx="137">
                  <c:v>101.79709406066786</c:v>
                </c:pt>
                <c:pt idx="138">
                  <c:v>101.41473362222789</c:v>
                </c:pt>
                <c:pt idx="139">
                  <c:v>101.87356614835585</c:v>
                </c:pt>
                <c:pt idx="140">
                  <c:v>102.63828702523578</c:v>
                </c:pt>
                <c:pt idx="141">
                  <c:v>102.38338006627581</c:v>
                </c:pt>
                <c:pt idx="142">
                  <c:v>102.12847310731583</c:v>
                </c:pt>
                <c:pt idx="143">
                  <c:v>101.93729288809585</c:v>
                </c:pt>
                <c:pt idx="144">
                  <c:v>102.12847310731583</c:v>
                </c:pt>
                <c:pt idx="145">
                  <c:v>102.45985215396381</c:v>
                </c:pt>
                <c:pt idx="146">
                  <c:v>101.96278358399185</c:v>
                </c:pt>
                <c:pt idx="147">
                  <c:v>102.3961254142238</c:v>
                </c:pt>
                <c:pt idx="148">
                  <c:v>102.93143002803977</c:v>
                </c:pt>
                <c:pt idx="149">
                  <c:v>104.32067295437166</c:v>
                </c:pt>
                <c:pt idx="150">
                  <c:v>104.75401478460363</c:v>
                </c:pt>
                <c:pt idx="151">
                  <c:v>104.35890899821565</c:v>
                </c:pt>
                <c:pt idx="152">
                  <c:v>104.94519500382363</c:v>
                </c:pt>
                <c:pt idx="153">
                  <c:v>104.9324496558756</c:v>
                </c:pt>
                <c:pt idx="154">
                  <c:v>104.85597756818761</c:v>
                </c:pt>
                <c:pt idx="155">
                  <c:v>104.90695895997962</c:v>
                </c:pt>
                <c:pt idx="156">
                  <c:v>104.85597756818761</c:v>
                </c:pt>
                <c:pt idx="157">
                  <c:v>104.99617639561561</c:v>
                </c:pt>
                <c:pt idx="158">
                  <c:v>105.58246240122355</c:v>
                </c:pt>
                <c:pt idx="159">
                  <c:v>105.53148100943154</c:v>
                </c:pt>
                <c:pt idx="160">
                  <c:v>105.65893448891156</c:v>
                </c:pt>
                <c:pt idx="161">
                  <c:v>105.68442518480757</c:v>
                </c:pt>
                <c:pt idx="162">
                  <c:v>105.21284731073159</c:v>
                </c:pt>
                <c:pt idx="163">
                  <c:v>104.85597756818761</c:v>
                </c:pt>
                <c:pt idx="164">
                  <c:v>105.0089217435636</c:v>
                </c:pt>
                <c:pt idx="165">
                  <c:v>104.71577874075963</c:v>
                </c:pt>
                <c:pt idx="166">
                  <c:v>104.94519500382363</c:v>
                </c:pt>
                <c:pt idx="167">
                  <c:v>104.01478460361969</c:v>
                </c:pt>
                <c:pt idx="168">
                  <c:v>103.88733112413971</c:v>
                </c:pt>
                <c:pt idx="169">
                  <c:v>104.20596482283966</c:v>
                </c:pt>
                <c:pt idx="170">
                  <c:v>103.65791486107571</c:v>
                </c:pt>
                <c:pt idx="171">
                  <c:v>104.16772877899567</c:v>
                </c:pt>
                <c:pt idx="172">
                  <c:v>104.48636247769565</c:v>
                </c:pt>
                <c:pt idx="173">
                  <c:v>104.76676013255161</c:v>
                </c:pt>
                <c:pt idx="174">
                  <c:v>105.54422635737954</c:v>
                </c:pt>
                <c:pt idx="175">
                  <c:v>105.40402752995158</c:v>
                </c:pt>
                <c:pt idx="176">
                  <c:v>104.39714504205966</c:v>
                </c:pt>
                <c:pt idx="177">
                  <c:v>103.49222533775173</c:v>
                </c:pt>
                <c:pt idx="178">
                  <c:v>103.7088962528677</c:v>
                </c:pt>
                <c:pt idx="179">
                  <c:v>103.22457303084374</c:v>
                </c:pt>
                <c:pt idx="180">
                  <c:v>103.25006372673975</c:v>
                </c:pt>
                <c:pt idx="181">
                  <c:v>103.46673464185572</c:v>
                </c:pt>
                <c:pt idx="182">
                  <c:v>103.21182768289574</c:v>
                </c:pt>
                <c:pt idx="183">
                  <c:v>102.24318123884784</c:v>
                </c:pt>
                <c:pt idx="184">
                  <c:v>102.56181493754779</c:v>
                </c:pt>
                <c:pt idx="185">
                  <c:v>101.93729288809585</c:v>
                </c:pt>
                <c:pt idx="186">
                  <c:v>102.12847310731583</c:v>
                </c:pt>
                <c:pt idx="187">
                  <c:v>102.03925567167984</c:v>
                </c:pt>
                <c:pt idx="188">
                  <c:v>102.07749171552382</c:v>
                </c:pt>
                <c:pt idx="189">
                  <c:v>102.51083354575582</c:v>
                </c:pt>
                <c:pt idx="190">
                  <c:v>102.06474636757584</c:v>
                </c:pt>
                <c:pt idx="191">
                  <c:v>103.16084629110375</c:v>
                </c:pt>
                <c:pt idx="192">
                  <c:v>103.32653581442774</c:v>
                </c:pt>
                <c:pt idx="193">
                  <c:v>103.53046138159571</c:v>
                </c:pt>
                <c:pt idx="194">
                  <c:v>103.6961509049197</c:v>
                </c:pt>
              </c:numCache>
            </c:numRef>
          </c:val>
          <c:smooth val="0"/>
        </c:ser>
        <c:ser>
          <c:idx val="7"/>
          <c:order val="7"/>
          <c:tx>
            <c:strRef>
              <c:f>Currency!$V$68</c:f>
              <c:strCache>
                <c:ptCount val="1"/>
                <c:pt idx="0">
                  <c:v>Euro</c:v>
                </c:pt>
              </c:strCache>
            </c:strRef>
          </c:tx>
          <c:spPr>
            <a:ln w="28575" cap="rnd">
              <a:solidFill>
                <a:schemeClr val="accent2">
                  <a:lumMod val="60000"/>
                </a:schemeClr>
              </a:solidFill>
              <a:round/>
            </a:ln>
            <a:effectLst/>
          </c:spPr>
          <c:marker>
            <c:symbol val="none"/>
          </c:marker>
          <c:cat>
            <c:numRef>
              <c:f>Currency!$N$266:$N$460</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Currency!$V$266:$V$460</c:f>
              <c:numCache>
                <c:formatCode>0.00</c:formatCode>
                <c:ptCount val="195"/>
                <c:pt idx="0">
                  <c:v>99.908414424728093</c:v>
                </c:pt>
                <c:pt idx="1">
                  <c:v>100.98454493417286</c:v>
                </c:pt>
                <c:pt idx="2">
                  <c:v>100.43503148254149</c:v>
                </c:pt>
                <c:pt idx="3">
                  <c:v>100.37779049799656</c:v>
                </c:pt>
                <c:pt idx="4">
                  <c:v>99.816828849456201</c:v>
                </c:pt>
                <c:pt idx="5">
                  <c:v>99.942759015455067</c:v>
                </c:pt>
                <c:pt idx="6">
                  <c:v>99.267315397824831</c:v>
                </c:pt>
                <c:pt idx="7">
                  <c:v>99.496279336004562</c:v>
                </c:pt>
                <c:pt idx="8">
                  <c:v>99.702346880366335</c:v>
                </c:pt>
                <c:pt idx="9">
                  <c:v>99.748139668002281</c:v>
                </c:pt>
                <c:pt idx="10">
                  <c:v>100.5151688609044</c:v>
                </c:pt>
                <c:pt idx="11">
                  <c:v>100.4235832856325</c:v>
                </c:pt>
                <c:pt idx="12">
                  <c:v>100.53806525472237</c:v>
                </c:pt>
                <c:pt idx="13">
                  <c:v>100.77847738981109</c:v>
                </c:pt>
                <c:pt idx="14">
                  <c:v>100.6983400114482</c:v>
                </c:pt>
                <c:pt idx="15">
                  <c:v>100.68689181453921</c:v>
                </c:pt>
                <c:pt idx="16">
                  <c:v>100.49227246708642</c:v>
                </c:pt>
                <c:pt idx="17">
                  <c:v>101.31654264453348</c:v>
                </c:pt>
                <c:pt idx="18">
                  <c:v>100.36634230108758</c:v>
                </c:pt>
                <c:pt idx="19">
                  <c:v>100.11448196908988</c:v>
                </c:pt>
                <c:pt idx="20">
                  <c:v>100.18317115054379</c:v>
                </c:pt>
                <c:pt idx="21">
                  <c:v>100.2518603319977</c:v>
                </c:pt>
                <c:pt idx="22">
                  <c:v>100</c:v>
                </c:pt>
                <c:pt idx="23">
                  <c:v>99.816828849456201</c:v>
                </c:pt>
                <c:pt idx="24">
                  <c:v>100.13737836290784</c:v>
                </c:pt>
                <c:pt idx="25">
                  <c:v>100.3434459072696</c:v>
                </c:pt>
                <c:pt idx="26">
                  <c:v>100.64109902690326</c:v>
                </c:pt>
                <c:pt idx="27">
                  <c:v>100.85861476817402</c:v>
                </c:pt>
                <c:pt idx="28">
                  <c:v>101.04178591871779</c:v>
                </c:pt>
                <c:pt idx="29">
                  <c:v>101.56840297653117</c:v>
                </c:pt>
                <c:pt idx="30">
                  <c:v>101.13337149398969</c:v>
                </c:pt>
                <c:pt idx="31">
                  <c:v>101.53405838580423</c:v>
                </c:pt>
                <c:pt idx="32">
                  <c:v>101.33943903835146</c:v>
                </c:pt>
                <c:pt idx="33">
                  <c:v>101.55695477962222</c:v>
                </c:pt>
                <c:pt idx="34">
                  <c:v>101.21350887235261</c:v>
                </c:pt>
                <c:pt idx="35">
                  <c:v>100.88151116199198</c:v>
                </c:pt>
                <c:pt idx="36">
                  <c:v>100.73268460217515</c:v>
                </c:pt>
                <c:pt idx="37">
                  <c:v>101.04178591871779</c:v>
                </c:pt>
                <c:pt idx="38">
                  <c:v>100.90440755580994</c:v>
                </c:pt>
                <c:pt idx="39">
                  <c:v>100.88151116199198</c:v>
                </c:pt>
                <c:pt idx="40">
                  <c:v>100.6067544361763</c:v>
                </c:pt>
                <c:pt idx="41">
                  <c:v>100.68689181453921</c:v>
                </c:pt>
                <c:pt idx="42">
                  <c:v>100.58385804235832</c:v>
                </c:pt>
                <c:pt idx="43">
                  <c:v>100.72123640526615</c:v>
                </c:pt>
                <c:pt idx="44">
                  <c:v>101.01888952489982</c:v>
                </c:pt>
                <c:pt idx="45">
                  <c:v>101.33943903835146</c:v>
                </c:pt>
                <c:pt idx="46">
                  <c:v>101.22495706926158</c:v>
                </c:pt>
                <c:pt idx="47">
                  <c:v>101.99198626216371</c:v>
                </c:pt>
                <c:pt idx="48">
                  <c:v>101.84315970234688</c:v>
                </c:pt>
                <c:pt idx="49">
                  <c:v>101.84315970234688</c:v>
                </c:pt>
                <c:pt idx="50">
                  <c:v>101.39668002289639</c:v>
                </c:pt>
                <c:pt idx="51">
                  <c:v>101.27074985689755</c:v>
                </c:pt>
                <c:pt idx="52">
                  <c:v>101.31654264453348</c:v>
                </c:pt>
                <c:pt idx="53">
                  <c:v>101.13337149398969</c:v>
                </c:pt>
                <c:pt idx="54">
                  <c:v>101.06468231253578</c:v>
                </c:pt>
                <c:pt idx="55">
                  <c:v>100.83571837435603</c:v>
                </c:pt>
                <c:pt idx="56">
                  <c:v>100.80137378362906</c:v>
                </c:pt>
                <c:pt idx="57">
                  <c:v>100.83571837435603</c:v>
                </c:pt>
                <c:pt idx="58">
                  <c:v>101.33943903835146</c:v>
                </c:pt>
                <c:pt idx="59">
                  <c:v>101.15626788780767</c:v>
                </c:pt>
                <c:pt idx="60">
                  <c:v>101.4653692043503</c:v>
                </c:pt>
                <c:pt idx="61">
                  <c:v>101.728677733257</c:v>
                </c:pt>
                <c:pt idx="62">
                  <c:v>101.90040068689181</c:v>
                </c:pt>
                <c:pt idx="63">
                  <c:v>102.02633085289065</c:v>
                </c:pt>
                <c:pt idx="64">
                  <c:v>102.16370921579849</c:v>
                </c:pt>
                <c:pt idx="65">
                  <c:v>102.24384659416141</c:v>
                </c:pt>
                <c:pt idx="66">
                  <c:v>101.80881511161992</c:v>
                </c:pt>
                <c:pt idx="67">
                  <c:v>102.03777904979965</c:v>
                </c:pt>
                <c:pt idx="68">
                  <c:v>102.0835718374356</c:v>
                </c:pt>
                <c:pt idx="69">
                  <c:v>101.61419576416712</c:v>
                </c:pt>
                <c:pt idx="70">
                  <c:v>101.57985117344018</c:v>
                </c:pt>
                <c:pt idx="71">
                  <c:v>101.53405838580423</c:v>
                </c:pt>
                <c:pt idx="72">
                  <c:v>101.68288494562105</c:v>
                </c:pt>
                <c:pt idx="73">
                  <c:v>101.32799084144246</c:v>
                </c:pt>
                <c:pt idx="74">
                  <c:v>101.24785346307957</c:v>
                </c:pt>
                <c:pt idx="75">
                  <c:v>101.45392100744132</c:v>
                </c:pt>
                <c:pt idx="76">
                  <c:v>101.33943903835146</c:v>
                </c:pt>
                <c:pt idx="77">
                  <c:v>101.94619347452776</c:v>
                </c:pt>
                <c:pt idx="78">
                  <c:v>101.80881511161992</c:v>
                </c:pt>
                <c:pt idx="79">
                  <c:v>101.68288494562105</c:v>
                </c:pt>
                <c:pt idx="80">
                  <c:v>102.09502003434459</c:v>
                </c:pt>
                <c:pt idx="81">
                  <c:v>102.58729250143102</c:v>
                </c:pt>
                <c:pt idx="82">
                  <c:v>102.79336004579278</c:v>
                </c:pt>
                <c:pt idx="83">
                  <c:v>102.55294791070406</c:v>
                </c:pt>
                <c:pt idx="84">
                  <c:v>102.38122495706925</c:v>
                </c:pt>
                <c:pt idx="85">
                  <c:v>102.06067544361761</c:v>
                </c:pt>
                <c:pt idx="86">
                  <c:v>101.83171150543788</c:v>
                </c:pt>
                <c:pt idx="87">
                  <c:v>102.41556954779621</c:v>
                </c:pt>
                <c:pt idx="88">
                  <c:v>102.25529479107041</c:v>
                </c:pt>
                <c:pt idx="89">
                  <c:v>102.18660560961648</c:v>
                </c:pt>
                <c:pt idx="90">
                  <c:v>102.43846594161418</c:v>
                </c:pt>
                <c:pt idx="91">
                  <c:v>102.32398397252433</c:v>
                </c:pt>
                <c:pt idx="92">
                  <c:v>102.0721236405266</c:v>
                </c:pt>
                <c:pt idx="93">
                  <c:v>101.87750429307383</c:v>
                </c:pt>
                <c:pt idx="94">
                  <c:v>101.88895248998281</c:v>
                </c:pt>
                <c:pt idx="95">
                  <c:v>102.12936462507155</c:v>
                </c:pt>
                <c:pt idx="96">
                  <c:v>102.16370921579849</c:v>
                </c:pt>
                <c:pt idx="97">
                  <c:v>102.42701774470521</c:v>
                </c:pt>
                <c:pt idx="98">
                  <c:v>102.54149971379508</c:v>
                </c:pt>
                <c:pt idx="99">
                  <c:v>102.49570692615913</c:v>
                </c:pt>
                <c:pt idx="100">
                  <c:v>102.57584430452202</c:v>
                </c:pt>
                <c:pt idx="101">
                  <c:v>102.610188895249</c:v>
                </c:pt>
                <c:pt idx="102">
                  <c:v>102.38122495706925</c:v>
                </c:pt>
                <c:pt idx="103">
                  <c:v>102.16370921579849</c:v>
                </c:pt>
                <c:pt idx="104">
                  <c:v>102.30108757870636</c:v>
                </c:pt>
                <c:pt idx="105">
                  <c:v>102.53005151688608</c:v>
                </c:pt>
                <c:pt idx="106">
                  <c:v>102.82770463651974</c:v>
                </c:pt>
                <c:pt idx="107">
                  <c:v>102.80480824270177</c:v>
                </c:pt>
                <c:pt idx="108">
                  <c:v>102.56439610761305</c:v>
                </c:pt>
                <c:pt idx="109">
                  <c:v>102.0721236405266</c:v>
                </c:pt>
                <c:pt idx="110">
                  <c:v>101.80881511161992</c:v>
                </c:pt>
                <c:pt idx="111">
                  <c:v>101.88895248998281</c:v>
                </c:pt>
                <c:pt idx="112">
                  <c:v>101.3737836290784</c:v>
                </c:pt>
                <c:pt idx="113">
                  <c:v>100.9616485403549</c:v>
                </c:pt>
                <c:pt idx="114">
                  <c:v>101.16771608471666</c:v>
                </c:pt>
                <c:pt idx="115">
                  <c:v>101.05323411562679</c:v>
                </c:pt>
                <c:pt idx="116">
                  <c:v>101.33943903835146</c:v>
                </c:pt>
                <c:pt idx="117">
                  <c:v>101.52261018889526</c:v>
                </c:pt>
                <c:pt idx="118">
                  <c:v>102.14081282198053</c:v>
                </c:pt>
                <c:pt idx="119">
                  <c:v>101.96908986834575</c:v>
                </c:pt>
                <c:pt idx="120">
                  <c:v>102.19805380652546</c:v>
                </c:pt>
                <c:pt idx="121">
                  <c:v>102.0721236405266</c:v>
                </c:pt>
                <c:pt idx="122">
                  <c:v>101.3852318259874</c:v>
                </c:pt>
                <c:pt idx="123">
                  <c:v>100.9502003434459</c:v>
                </c:pt>
                <c:pt idx="124">
                  <c:v>100.5151688609044</c:v>
                </c:pt>
                <c:pt idx="125">
                  <c:v>100.74413279908414</c:v>
                </c:pt>
                <c:pt idx="126">
                  <c:v>100.57240984544933</c:v>
                </c:pt>
                <c:pt idx="127">
                  <c:v>100.72123640526615</c:v>
                </c:pt>
                <c:pt idx="128">
                  <c:v>100.78992558672009</c:v>
                </c:pt>
                <c:pt idx="129">
                  <c:v>101.36233543216942</c:v>
                </c:pt>
                <c:pt idx="130">
                  <c:v>101.24785346307957</c:v>
                </c:pt>
                <c:pt idx="131">
                  <c:v>101.48826559816828</c:v>
                </c:pt>
                <c:pt idx="132">
                  <c:v>101.4768174012593</c:v>
                </c:pt>
                <c:pt idx="133">
                  <c:v>102.04922724670864</c:v>
                </c:pt>
                <c:pt idx="134">
                  <c:v>102.0835718374356</c:v>
                </c:pt>
                <c:pt idx="135">
                  <c:v>102.14081282198053</c:v>
                </c:pt>
                <c:pt idx="136">
                  <c:v>101.67143674871207</c:v>
                </c:pt>
                <c:pt idx="137">
                  <c:v>101.71722953634801</c:v>
                </c:pt>
                <c:pt idx="138">
                  <c:v>101.60274756725815</c:v>
                </c:pt>
                <c:pt idx="139">
                  <c:v>101.68288494562105</c:v>
                </c:pt>
                <c:pt idx="140">
                  <c:v>102.10646823125357</c:v>
                </c:pt>
                <c:pt idx="141">
                  <c:v>101.99198626216371</c:v>
                </c:pt>
                <c:pt idx="142">
                  <c:v>101.99198626216371</c:v>
                </c:pt>
                <c:pt idx="143">
                  <c:v>101.95764167143673</c:v>
                </c:pt>
                <c:pt idx="144">
                  <c:v>102.04922724670864</c:v>
                </c:pt>
                <c:pt idx="145">
                  <c:v>102.66742987979394</c:v>
                </c:pt>
                <c:pt idx="146">
                  <c:v>102.72467086433885</c:v>
                </c:pt>
                <c:pt idx="147">
                  <c:v>102.81625643961077</c:v>
                </c:pt>
                <c:pt idx="148">
                  <c:v>102.93073840870062</c:v>
                </c:pt>
                <c:pt idx="149">
                  <c:v>102.77046365197482</c:v>
                </c:pt>
                <c:pt idx="150">
                  <c:v>102.65598168288494</c:v>
                </c:pt>
                <c:pt idx="151">
                  <c:v>102.87349742415569</c:v>
                </c:pt>
                <c:pt idx="152">
                  <c:v>103.43445907269604</c:v>
                </c:pt>
                <c:pt idx="153">
                  <c:v>102.99942759015454</c:v>
                </c:pt>
                <c:pt idx="154">
                  <c:v>102.11791642816257</c:v>
                </c:pt>
                <c:pt idx="155">
                  <c:v>102.23239839725242</c:v>
                </c:pt>
                <c:pt idx="156">
                  <c:v>101.96908986834575</c:v>
                </c:pt>
                <c:pt idx="157">
                  <c:v>102.17515741270748</c:v>
                </c:pt>
                <c:pt idx="158">
                  <c:v>102.11791642816257</c:v>
                </c:pt>
                <c:pt idx="159">
                  <c:v>102.10646823125357</c:v>
                </c:pt>
                <c:pt idx="160">
                  <c:v>102.41556954779621</c:v>
                </c:pt>
                <c:pt idx="161">
                  <c:v>102.72467086433885</c:v>
                </c:pt>
                <c:pt idx="162">
                  <c:v>103.13680595306238</c:v>
                </c:pt>
                <c:pt idx="163">
                  <c:v>103.19404693760733</c:v>
                </c:pt>
                <c:pt idx="164">
                  <c:v>103.19404693760733</c:v>
                </c:pt>
                <c:pt idx="165">
                  <c:v>103.14825414997138</c:v>
                </c:pt>
                <c:pt idx="166">
                  <c:v>103.11390955924441</c:v>
                </c:pt>
                <c:pt idx="167">
                  <c:v>103.2970807097882</c:v>
                </c:pt>
                <c:pt idx="168">
                  <c:v>102.78191184888379</c:v>
                </c:pt>
                <c:pt idx="169">
                  <c:v>103.04522037779049</c:v>
                </c:pt>
                <c:pt idx="170">
                  <c:v>103.17115054378934</c:v>
                </c:pt>
                <c:pt idx="171">
                  <c:v>103.33142530051515</c:v>
                </c:pt>
                <c:pt idx="172">
                  <c:v>103.57183743560387</c:v>
                </c:pt>
                <c:pt idx="173">
                  <c:v>104.19004006868917</c:v>
                </c:pt>
                <c:pt idx="174">
                  <c:v>104.32741843159701</c:v>
                </c:pt>
                <c:pt idx="175">
                  <c:v>104.36176302232398</c:v>
                </c:pt>
                <c:pt idx="176">
                  <c:v>103.8236977676016</c:v>
                </c:pt>
                <c:pt idx="177">
                  <c:v>103.68631940469375</c:v>
                </c:pt>
                <c:pt idx="178">
                  <c:v>103.74356038923868</c:v>
                </c:pt>
                <c:pt idx="179">
                  <c:v>103.51459645105896</c:v>
                </c:pt>
                <c:pt idx="180">
                  <c:v>103.68631940469375</c:v>
                </c:pt>
                <c:pt idx="181">
                  <c:v>104.00686891814539</c:v>
                </c:pt>
                <c:pt idx="182">
                  <c:v>103.43445907269604</c:v>
                </c:pt>
                <c:pt idx="183">
                  <c:v>103.36576989124214</c:v>
                </c:pt>
                <c:pt idx="184">
                  <c:v>104.05266170578133</c:v>
                </c:pt>
                <c:pt idx="185">
                  <c:v>103.42301087578704</c:v>
                </c:pt>
                <c:pt idx="186">
                  <c:v>103.480251860332</c:v>
                </c:pt>
                <c:pt idx="187">
                  <c:v>103.6405266170578</c:v>
                </c:pt>
                <c:pt idx="188">
                  <c:v>104.00686891814539</c:v>
                </c:pt>
                <c:pt idx="189">
                  <c:v>104.19004006868917</c:v>
                </c:pt>
                <c:pt idx="190">
                  <c:v>103.93817973669147</c:v>
                </c:pt>
                <c:pt idx="191">
                  <c:v>104.61362335432167</c:v>
                </c:pt>
                <c:pt idx="192">
                  <c:v>104.78534630795649</c:v>
                </c:pt>
                <c:pt idx="193">
                  <c:v>104.6021751574127</c:v>
                </c:pt>
                <c:pt idx="194">
                  <c:v>104.97996565540927</c:v>
                </c:pt>
              </c:numCache>
            </c:numRef>
          </c:val>
          <c:smooth val="0"/>
        </c:ser>
        <c:ser>
          <c:idx val="8"/>
          <c:order val="8"/>
          <c:tx>
            <c:strRef>
              <c:f>Currency!$W$68</c:f>
              <c:strCache>
                <c:ptCount val="1"/>
                <c:pt idx="0">
                  <c:v>Yen</c:v>
                </c:pt>
              </c:strCache>
            </c:strRef>
          </c:tx>
          <c:spPr>
            <a:ln w="28575" cap="rnd">
              <a:solidFill>
                <a:schemeClr val="accent3">
                  <a:lumMod val="60000"/>
                </a:schemeClr>
              </a:solidFill>
              <a:round/>
            </a:ln>
            <a:effectLst/>
          </c:spPr>
          <c:marker>
            <c:symbol val="none"/>
          </c:marker>
          <c:cat>
            <c:numRef>
              <c:f>Currency!$N$266:$N$460</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Currency!$W$266:$W$460</c:f>
              <c:numCache>
                <c:formatCode>0.00</c:formatCode>
                <c:ptCount val="195"/>
                <c:pt idx="0">
                  <c:v>100.02735728615721</c:v>
                </c:pt>
                <c:pt idx="1">
                  <c:v>99.799379901513774</c:v>
                </c:pt>
                <c:pt idx="2">
                  <c:v>98.513587452124753</c:v>
                </c:pt>
                <c:pt idx="3">
                  <c:v>98.896589458325735</c:v>
                </c:pt>
                <c:pt idx="4">
                  <c:v>99.042494984497537</c:v>
                </c:pt>
                <c:pt idx="5">
                  <c:v>99.024256793726067</c:v>
                </c:pt>
                <c:pt idx="6">
                  <c:v>98.778041218311145</c:v>
                </c:pt>
                <c:pt idx="7">
                  <c:v>98.841874886011311</c:v>
                </c:pt>
                <c:pt idx="8">
                  <c:v>98.860113076782781</c:v>
                </c:pt>
                <c:pt idx="9">
                  <c:v>98.659492978296555</c:v>
                </c:pt>
                <c:pt idx="10">
                  <c:v>99.051614079883294</c:v>
                </c:pt>
                <c:pt idx="11">
                  <c:v>99.370782418384096</c:v>
                </c:pt>
                <c:pt idx="12">
                  <c:v>99.379901513769838</c:v>
                </c:pt>
                <c:pt idx="13">
                  <c:v>100.16414371694329</c:v>
                </c:pt>
                <c:pt idx="14">
                  <c:v>99.98176180922853</c:v>
                </c:pt>
                <c:pt idx="15">
                  <c:v>99.699069852270668</c:v>
                </c:pt>
                <c:pt idx="16">
                  <c:v>99.817618092285244</c:v>
                </c:pt>
                <c:pt idx="17">
                  <c:v>100.01823819077148</c:v>
                </c:pt>
                <c:pt idx="18">
                  <c:v>100.10031004924312</c:v>
                </c:pt>
                <c:pt idx="19">
                  <c:v>99.635236184570502</c:v>
                </c:pt>
                <c:pt idx="20">
                  <c:v>99.74466532919935</c:v>
                </c:pt>
                <c:pt idx="21">
                  <c:v>99.881451759985424</c:v>
                </c:pt>
                <c:pt idx="22">
                  <c:v>99.233995987598021</c:v>
                </c:pt>
                <c:pt idx="23">
                  <c:v>99.908809046142636</c:v>
                </c:pt>
                <c:pt idx="24">
                  <c:v>100.22797738464344</c:v>
                </c:pt>
                <c:pt idx="25">
                  <c:v>100.23709648002918</c:v>
                </c:pt>
                <c:pt idx="26">
                  <c:v>100.08207185847165</c:v>
                </c:pt>
                <c:pt idx="27">
                  <c:v>100.1185482400146</c:v>
                </c:pt>
                <c:pt idx="28">
                  <c:v>100.05471457231442</c:v>
                </c:pt>
                <c:pt idx="29">
                  <c:v>100.72952763085901</c:v>
                </c:pt>
                <c:pt idx="30">
                  <c:v>100.78424220317343</c:v>
                </c:pt>
                <c:pt idx="31">
                  <c:v>101.12164873244573</c:v>
                </c:pt>
                <c:pt idx="32">
                  <c:v>100.84807587087361</c:v>
                </c:pt>
                <c:pt idx="33">
                  <c:v>100.82071858471639</c:v>
                </c:pt>
                <c:pt idx="34">
                  <c:v>100.82071858471639</c:v>
                </c:pt>
                <c:pt idx="35">
                  <c:v>100.78424220317343</c:v>
                </c:pt>
                <c:pt idx="36">
                  <c:v>100.92102863395951</c:v>
                </c:pt>
                <c:pt idx="37">
                  <c:v>101.03957687397411</c:v>
                </c:pt>
                <c:pt idx="38">
                  <c:v>100.83895677548786</c:v>
                </c:pt>
                <c:pt idx="39">
                  <c:v>101.39522159401788</c:v>
                </c:pt>
                <c:pt idx="40">
                  <c:v>100.96662411088819</c:v>
                </c:pt>
                <c:pt idx="41">
                  <c:v>101.17636330476016</c:v>
                </c:pt>
                <c:pt idx="42">
                  <c:v>101.52288892941822</c:v>
                </c:pt>
                <c:pt idx="43">
                  <c:v>102.10651103410542</c:v>
                </c:pt>
                <c:pt idx="44">
                  <c:v>101.87853364946197</c:v>
                </c:pt>
                <c:pt idx="45">
                  <c:v>102.06091555717674</c:v>
                </c:pt>
                <c:pt idx="46">
                  <c:v>101.85117636330476</c:v>
                </c:pt>
                <c:pt idx="47">
                  <c:v>101.78734269560461</c:v>
                </c:pt>
                <c:pt idx="48">
                  <c:v>101.25843516323181</c:v>
                </c:pt>
                <c:pt idx="49">
                  <c:v>101.43169797556084</c:v>
                </c:pt>
                <c:pt idx="50">
                  <c:v>101.50465073864675</c:v>
                </c:pt>
                <c:pt idx="51">
                  <c:v>101.43169797556084</c:v>
                </c:pt>
                <c:pt idx="52">
                  <c:v>101.89677184023344</c:v>
                </c:pt>
                <c:pt idx="53">
                  <c:v>101.66879445559</c:v>
                </c:pt>
                <c:pt idx="54">
                  <c:v>101.61407988327559</c:v>
                </c:pt>
                <c:pt idx="55">
                  <c:v>101.55936531096117</c:v>
                </c:pt>
                <c:pt idx="56">
                  <c:v>101.6870326463615</c:v>
                </c:pt>
                <c:pt idx="57">
                  <c:v>101.08517235090279</c:v>
                </c:pt>
                <c:pt idx="58">
                  <c:v>100.34652562465804</c:v>
                </c:pt>
                <c:pt idx="59">
                  <c:v>100.13678643078607</c:v>
                </c:pt>
                <c:pt idx="60">
                  <c:v>100.72952763085901</c:v>
                </c:pt>
                <c:pt idx="61">
                  <c:v>100.75688491701622</c:v>
                </c:pt>
                <c:pt idx="62">
                  <c:v>100.82983768010214</c:v>
                </c:pt>
                <c:pt idx="63">
                  <c:v>101.0122195878169</c:v>
                </c:pt>
                <c:pt idx="64">
                  <c:v>101.60496078788985</c:v>
                </c:pt>
                <c:pt idx="65">
                  <c:v>101.54112712018969</c:v>
                </c:pt>
                <c:pt idx="66">
                  <c:v>101.65055626481853</c:v>
                </c:pt>
                <c:pt idx="67">
                  <c:v>101.72350902790444</c:v>
                </c:pt>
                <c:pt idx="68">
                  <c:v>101.88765274484773</c:v>
                </c:pt>
                <c:pt idx="69">
                  <c:v>101.64143716943279</c:v>
                </c:pt>
                <c:pt idx="70">
                  <c:v>101.34050702170344</c:v>
                </c:pt>
                <c:pt idx="71">
                  <c:v>101.10341054167426</c:v>
                </c:pt>
                <c:pt idx="72">
                  <c:v>101.7417472186759</c:v>
                </c:pt>
                <c:pt idx="73">
                  <c:v>102.16122560641985</c:v>
                </c:pt>
                <c:pt idx="74">
                  <c:v>102.10651103410542</c:v>
                </c:pt>
                <c:pt idx="75">
                  <c:v>102.13386832026264</c:v>
                </c:pt>
                <c:pt idx="76">
                  <c:v>102.13386832026264</c:v>
                </c:pt>
                <c:pt idx="77">
                  <c:v>102.12474922487689</c:v>
                </c:pt>
                <c:pt idx="78">
                  <c:v>102.06091555717674</c:v>
                </c:pt>
                <c:pt idx="79">
                  <c:v>102.0791537479482</c:v>
                </c:pt>
                <c:pt idx="80">
                  <c:v>101.94236731716215</c:v>
                </c:pt>
                <c:pt idx="81">
                  <c:v>102.06091555717674</c:v>
                </c:pt>
                <c:pt idx="82">
                  <c:v>101.75086631406165</c:v>
                </c:pt>
                <c:pt idx="83">
                  <c:v>101.75086631406165</c:v>
                </c:pt>
                <c:pt idx="84">
                  <c:v>101.95148641254788</c:v>
                </c:pt>
                <c:pt idx="85">
                  <c:v>101.51376983403246</c:v>
                </c:pt>
                <c:pt idx="86">
                  <c:v>101.36786430786067</c:v>
                </c:pt>
                <c:pt idx="87">
                  <c:v>101.67791355097575</c:v>
                </c:pt>
                <c:pt idx="88">
                  <c:v>101.43169797556084</c:v>
                </c:pt>
                <c:pt idx="89">
                  <c:v>101.04869596935984</c:v>
                </c:pt>
                <c:pt idx="90">
                  <c:v>100.62009848623018</c:v>
                </c:pt>
                <c:pt idx="91">
                  <c:v>100.43771657851541</c:v>
                </c:pt>
                <c:pt idx="92">
                  <c:v>100.10942914462886</c:v>
                </c:pt>
                <c:pt idx="93">
                  <c:v>100.01823819077148</c:v>
                </c:pt>
                <c:pt idx="94">
                  <c:v>99.52580703994164</c:v>
                </c:pt>
                <c:pt idx="95">
                  <c:v>100</c:v>
                </c:pt>
                <c:pt idx="96">
                  <c:v>99.799379901513774</c:v>
                </c:pt>
                <c:pt idx="97">
                  <c:v>100.17326281232901</c:v>
                </c:pt>
                <c:pt idx="98">
                  <c:v>100.26445376618641</c:v>
                </c:pt>
                <c:pt idx="99">
                  <c:v>100.28269195695788</c:v>
                </c:pt>
                <c:pt idx="100">
                  <c:v>100.91190953857377</c:v>
                </c:pt>
                <c:pt idx="101">
                  <c:v>100.53802662775853</c:v>
                </c:pt>
                <c:pt idx="102">
                  <c:v>99.86321356921394</c:v>
                </c:pt>
                <c:pt idx="103">
                  <c:v>99.74466532919935</c:v>
                </c:pt>
                <c:pt idx="104">
                  <c:v>99.881451759985424</c:v>
                </c:pt>
                <c:pt idx="105">
                  <c:v>99.890570855371152</c:v>
                </c:pt>
                <c:pt idx="106">
                  <c:v>99.735546233813608</c:v>
                </c:pt>
                <c:pt idx="107">
                  <c:v>100.02735728615721</c:v>
                </c:pt>
                <c:pt idx="108">
                  <c:v>98.960423126025901</c:v>
                </c:pt>
                <c:pt idx="109">
                  <c:v>98.732445741382463</c:v>
                </c:pt>
                <c:pt idx="110">
                  <c:v>98.695969359839509</c:v>
                </c:pt>
                <c:pt idx="111">
                  <c:v>98.778041218311145</c:v>
                </c:pt>
                <c:pt idx="112">
                  <c:v>98.668612073682297</c:v>
                </c:pt>
                <c:pt idx="113">
                  <c:v>98.595659310596389</c:v>
                </c:pt>
                <c:pt idx="114">
                  <c:v>98.987780412183113</c:v>
                </c:pt>
                <c:pt idx="115">
                  <c:v>98.905708553711463</c:v>
                </c:pt>
                <c:pt idx="116">
                  <c:v>98.942184935254431</c:v>
                </c:pt>
                <c:pt idx="117">
                  <c:v>98.896589458325735</c:v>
                </c:pt>
                <c:pt idx="118">
                  <c:v>98.987780412183113</c:v>
                </c:pt>
                <c:pt idx="119">
                  <c:v>99.006018602954583</c:v>
                </c:pt>
                <c:pt idx="120">
                  <c:v>98.905708553711463</c:v>
                </c:pt>
                <c:pt idx="121">
                  <c:v>98.814517599854099</c:v>
                </c:pt>
                <c:pt idx="122">
                  <c:v>97.893488965894576</c:v>
                </c:pt>
                <c:pt idx="123">
                  <c:v>98.021156301294909</c:v>
                </c:pt>
                <c:pt idx="124">
                  <c:v>97.884369870508849</c:v>
                </c:pt>
                <c:pt idx="125">
                  <c:v>97.79317891665147</c:v>
                </c:pt>
                <c:pt idx="126">
                  <c:v>98.185300018238195</c:v>
                </c:pt>
                <c:pt idx="127">
                  <c:v>98.249133685938347</c:v>
                </c:pt>
                <c:pt idx="128">
                  <c:v>98.376801021338679</c:v>
                </c:pt>
                <c:pt idx="129">
                  <c:v>98.923946744482947</c:v>
                </c:pt>
                <c:pt idx="130">
                  <c:v>98.376801021338679</c:v>
                </c:pt>
                <c:pt idx="131">
                  <c:v>98.331205544409997</c:v>
                </c:pt>
                <c:pt idx="132">
                  <c:v>98.294729162867057</c:v>
                </c:pt>
                <c:pt idx="133">
                  <c:v>98.987780412183113</c:v>
                </c:pt>
                <c:pt idx="134">
                  <c:v>99.106328652197703</c:v>
                </c:pt>
                <c:pt idx="135">
                  <c:v>99.224876892212293</c:v>
                </c:pt>
                <c:pt idx="136">
                  <c:v>98.860113076782781</c:v>
                </c:pt>
                <c:pt idx="137">
                  <c:v>98.905708553711463</c:v>
                </c:pt>
                <c:pt idx="138">
                  <c:v>98.422396498267389</c:v>
                </c:pt>
                <c:pt idx="139">
                  <c:v>98.367681925952951</c:v>
                </c:pt>
                <c:pt idx="140">
                  <c:v>98.732445741382463</c:v>
                </c:pt>
                <c:pt idx="141">
                  <c:v>98.568302024439177</c:v>
                </c:pt>
                <c:pt idx="142">
                  <c:v>98.331205544409997</c:v>
                </c:pt>
                <c:pt idx="143">
                  <c:v>98.240014590552633</c:v>
                </c:pt>
                <c:pt idx="144">
                  <c:v>98.376801021338679</c:v>
                </c:pt>
                <c:pt idx="145">
                  <c:v>98.641254787525085</c:v>
                </c:pt>
                <c:pt idx="146">
                  <c:v>98.604778405982131</c:v>
                </c:pt>
                <c:pt idx="147">
                  <c:v>99.133685938354915</c:v>
                </c:pt>
                <c:pt idx="148">
                  <c:v>99.133685938354915</c:v>
                </c:pt>
                <c:pt idx="149">
                  <c:v>99.261353273755233</c:v>
                </c:pt>
                <c:pt idx="150">
                  <c:v>99.051614079883294</c:v>
                </c:pt>
                <c:pt idx="151">
                  <c:v>99.024256793726067</c:v>
                </c:pt>
                <c:pt idx="152">
                  <c:v>98.613897501367859</c:v>
                </c:pt>
                <c:pt idx="153">
                  <c:v>97.21867590734999</c:v>
                </c:pt>
                <c:pt idx="154">
                  <c:v>96.571220134962616</c:v>
                </c:pt>
                <c:pt idx="155">
                  <c:v>97.045413095020976</c:v>
                </c:pt>
                <c:pt idx="156">
                  <c:v>96.498267371876707</c:v>
                </c:pt>
                <c:pt idx="157">
                  <c:v>96.86303118730622</c:v>
                </c:pt>
                <c:pt idx="158">
                  <c:v>96.242932701076072</c:v>
                </c:pt>
                <c:pt idx="159">
                  <c:v>96.051431697975559</c:v>
                </c:pt>
                <c:pt idx="160">
                  <c:v>97.182199525807036</c:v>
                </c:pt>
                <c:pt idx="161">
                  <c:v>96.443552799562298</c:v>
                </c:pt>
                <c:pt idx="162">
                  <c:v>96.7627211380631</c:v>
                </c:pt>
                <c:pt idx="163">
                  <c:v>96.917745759620658</c:v>
                </c:pt>
                <c:pt idx="164">
                  <c:v>97.154842239649824</c:v>
                </c:pt>
                <c:pt idx="165">
                  <c:v>96.954222141163598</c:v>
                </c:pt>
                <c:pt idx="166">
                  <c:v>97.072770381178202</c:v>
                </c:pt>
                <c:pt idx="167">
                  <c:v>97.063651285792446</c:v>
                </c:pt>
                <c:pt idx="168">
                  <c:v>96.124384461061467</c:v>
                </c:pt>
                <c:pt idx="169">
                  <c:v>96.771840233448842</c:v>
                </c:pt>
                <c:pt idx="170">
                  <c:v>96.416195513405086</c:v>
                </c:pt>
                <c:pt idx="171">
                  <c:v>96.62593470727704</c:v>
                </c:pt>
                <c:pt idx="172">
                  <c:v>97.182199525807036</c:v>
                </c:pt>
                <c:pt idx="173">
                  <c:v>96.990698522706552</c:v>
                </c:pt>
                <c:pt idx="174">
                  <c:v>96.790078424220312</c:v>
                </c:pt>
                <c:pt idx="175">
                  <c:v>96.552981944191131</c:v>
                </c:pt>
                <c:pt idx="176">
                  <c:v>96.935983950392128</c:v>
                </c:pt>
                <c:pt idx="177">
                  <c:v>97.519606055079336</c:v>
                </c:pt>
                <c:pt idx="178">
                  <c:v>97.437534196607686</c:v>
                </c:pt>
                <c:pt idx="179">
                  <c:v>97.619916104322442</c:v>
                </c:pt>
                <c:pt idx="180">
                  <c:v>97.993799015137697</c:v>
                </c:pt>
                <c:pt idx="181">
                  <c:v>98.276490972095559</c:v>
                </c:pt>
                <c:pt idx="182">
                  <c:v>98.513587452124753</c:v>
                </c:pt>
                <c:pt idx="183">
                  <c:v>98.595659310596389</c:v>
                </c:pt>
                <c:pt idx="184">
                  <c:v>98.458872879810315</c:v>
                </c:pt>
                <c:pt idx="185">
                  <c:v>98.559182929053435</c:v>
                </c:pt>
                <c:pt idx="186">
                  <c:v>98.641254787525085</c:v>
                </c:pt>
                <c:pt idx="187">
                  <c:v>98.449753784424587</c:v>
                </c:pt>
                <c:pt idx="188">
                  <c:v>98.376801021338679</c:v>
                </c:pt>
                <c:pt idx="189">
                  <c:v>98.030275396680651</c:v>
                </c:pt>
                <c:pt idx="190">
                  <c:v>97.65639248586541</c:v>
                </c:pt>
                <c:pt idx="191">
                  <c:v>98.303848258252785</c:v>
                </c:pt>
                <c:pt idx="192">
                  <c:v>98.312967353638527</c:v>
                </c:pt>
                <c:pt idx="193">
                  <c:v>98.358562830567209</c:v>
                </c:pt>
                <c:pt idx="194">
                  <c:v>98.623016596753615</c:v>
                </c:pt>
              </c:numCache>
            </c:numRef>
          </c:val>
          <c:smooth val="0"/>
        </c:ser>
        <c:ser>
          <c:idx val="9"/>
          <c:order val="9"/>
          <c:tx>
            <c:strRef>
              <c:f>Currency!$X$68</c:f>
              <c:strCache>
                <c:ptCount val="1"/>
                <c:pt idx="0">
                  <c:v>Swiss Franc</c:v>
                </c:pt>
              </c:strCache>
            </c:strRef>
          </c:tx>
          <c:spPr>
            <a:ln w="28575" cap="rnd">
              <a:solidFill>
                <a:schemeClr val="accent4">
                  <a:lumMod val="60000"/>
                </a:schemeClr>
              </a:solidFill>
              <a:round/>
            </a:ln>
            <a:effectLst/>
          </c:spPr>
          <c:marker>
            <c:symbol val="none"/>
          </c:marker>
          <c:cat>
            <c:numRef>
              <c:f>Currency!$N$266:$N$460</c:f>
              <c:numCache>
                <c:formatCode>[$-409]mmm\-yy;@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Currency!$X$266:$X$460</c:f>
              <c:numCache>
                <c:formatCode>0.00</c:formatCode>
                <c:ptCount val="195"/>
                <c:pt idx="0">
                  <c:v>100.01017501017502</c:v>
                </c:pt>
                <c:pt idx="1">
                  <c:v>100.76312576312576</c:v>
                </c:pt>
                <c:pt idx="2">
                  <c:v>100.60032560032562</c:v>
                </c:pt>
                <c:pt idx="3">
                  <c:v>100.32560032560032</c:v>
                </c:pt>
                <c:pt idx="4">
                  <c:v>99.776149776149779</c:v>
                </c:pt>
                <c:pt idx="5">
                  <c:v>99.786324786324784</c:v>
                </c:pt>
                <c:pt idx="6">
                  <c:v>99.287749287749278</c:v>
                </c:pt>
                <c:pt idx="7">
                  <c:v>100.01017501017502</c:v>
                </c:pt>
                <c:pt idx="8">
                  <c:v>100.01017501017502</c:v>
                </c:pt>
                <c:pt idx="9">
                  <c:v>99.745624745624738</c:v>
                </c:pt>
                <c:pt idx="10">
                  <c:v>100.5901505901506</c:v>
                </c:pt>
                <c:pt idx="11">
                  <c:v>100.71225071225072</c:v>
                </c:pt>
                <c:pt idx="12">
                  <c:v>101.14977614977614</c:v>
                </c:pt>
                <c:pt idx="13">
                  <c:v>101.31257631257631</c:v>
                </c:pt>
                <c:pt idx="14">
                  <c:v>101.49572649572649</c:v>
                </c:pt>
                <c:pt idx="15">
                  <c:v>101.42450142450143</c:v>
                </c:pt>
                <c:pt idx="16">
                  <c:v>101.20065120065121</c:v>
                </c:pt>
                <c:pt idx="17">
                  <c:v>101.45502645502644</c:v>
                </c:pt>
                <c:pt idx="18">
                  <c:v>101.05820105820105</c:v>
                </c:pt>
                <c:pt idx="19">
                  <c:v>100.84452584452583</c:v>
                </c:pt>
                <c:pt idx="20">
                  <c:v>101.28205128205127</c:v>
                </c:pt>
                <c:pt idx="21">
                  <c:v>101.65852665852665</c:v>
                </c:pt>
                <c:pt idx="22">
                  <c:v>101.11925111925113</c:v>
                </c:pt>
                <c:pt idx="23">
                  <c:v>101.20065120065121</c:v>
                </c:pt>
                <c:pt idx="24">
                  <c:v>101.54660154660155</c:v>
                </c:pt>
                <c:pt idx="25">
                  <c:v>101.78062678062678</c:v>
                </c:pt>
                <c:pt idx="26">
                  <c:v>101.91290191290192</c:v>
                </c:pt>
                <c:pt idx="27">
                  <c:v>101.9027269027269</c:v>
                </c:pt>
                <c:pt idx="28">
                  <c:v>101.72975172975174</c:v>
                </c:pt>
                <c:pt idx="29">
                  <c:v>102.24867724867724</c:v>
                </c:pt>
                <c:pt idx="30">
                  <c:v>102.43182743182741</c:v>
                </c:pt>
                <c:pt idx="31">
                  <c:v>102.6149776149776</c:v>
                </c:pt>
                <c:pt idx="32">
                  <c:v>102.24867724867724</c:v>
                </c:pt>
                <c:pt idx="33">
                  <c:v>102.41147741147741</c:v>
                </c:pt>
                <c:pt idx="34">
                  <c:v>102.17745217745218</c:v>
                </c:pt>
                <c:pt idx="35">
                  <c:v>101.81115181115182</c:v>
                </c:pt>
                <c:pt idx="36">
                  <c:v>101.5974765974766</c:v>
                </c:pt>
                <c:pt idx="37">
                  <c:v>101.9027269027269</c:v>
                </c:pt>
                <c:pt idx="38">
                  <c:v>101.66870166870166</c:v>
                </c:pt>
                <c:pt idx="39">
                  <c:v>101.84167684167682</c:v>
                </c:pt>
                <c:pt idx="40">
                  <c:v>101.75010175010175</c:v>
                </c:pt>
                <c:pt idx="41">
                  <c:v>101.86202686202688</c:v>
                </c:pt>
                <c:pt idx="42">
                  <c:v>101.49572649572649</c:v>
                </c:pt>
                <c:pt idx="43">
                  <c:v>101.66870166870166</c:v>
                </c:pt>
                <c:pt idx="44">
                  <c:v>101.71957671957672</c:v>
                </c:pt>
                <c:pt idx="45">
                  <c:v>102.27920227920228</c:v>
                </c:pt>
                <c:pt idx="46">
                  <c:v>102.22832722832722</c:v>
                </c:pt>
                <c:pt idx="47">
                  <c:v>102.8083028083028</c:v>
                </c:pt>
                <c:pt idx="48">
                  <c:v>102.47252747252749</c:v>
                </c:pt>
                <c:pt idx="49">
                  <c:v>102.8795278795279</c:v>
                </c:pt>
                <c:pt idx="50">
                  <c:v>102.4928774928775</c:v>
                </c:pt>
                <c:pt idx="51">
                  <c:v>102.23850223850224</c:v>
                </c:pt>
                <c:pt idx="52">
                  <c:v>102.15710215710216</c:v>
                </c:pt>
                <c:pt idx="53">
                  <c:v>102.014652014652</c:v>
                </c:pt>
                <c:pt idx="54">
                  <c:v>101.9027269027269</c:v>
                </c:pt>
                <c:pt idx="55">
                  <c:v>101.66870166870166</c:v>
                </c:pt>
                <c:pt idx="56">
                  <c:v>101.49572649572649</c:v>
                </c:pt>
                <c:pt idx="57">
                  <c:v>101.0887260887261</c:v>
                </c:pt>
                <c:pt idx="58">
                  <c:v>101.18030118030117</c:v>
                </c:pt>
                <c:pt idx="59">
                  <c:v>100.93610093610093</c:v>
                </c:pt>
                <c:pt idx="60">
                  <c:v>101.09890109890109</c:v>
                </c:pt>
                <c:pt idx="61">
                  <c:v>101.27187627187627</c:v>
                </c:pt>
                <c:pt idx="62">
                  <c:v>101.27187627187627</c:v>
                </c:pt>
                <c:pt idx="63">
                  <c:v>101.31257631257631</c:v>
                </c:pt>
                <c:pt idx="64">
                  <c:v>101.65852665852665</c:v>
                </c:pt>
                <c:pt idx="65">
                  <c:v>101.56695156695157</c:v>
                </c:pt>
                <c:pt idx="66">
                  <c:v>101.46520146520146</c:v>
                </c:pt>
                <c:pt idx="67">
                  <c:v>101.73992673992673</c:v>
                </c:pt>
                <c:pt idx="68">
                  <c:v>101.78062678062678</c:v>
                </c:pt>
                <c:pt idx="69">
                  <c:v>101.63817663817665</c:v>
                </c:pt>
                <c:pt idx="70">
                  <c:v>101.76027676027677</c:v>
                </c:pt>
                <c:pt idx="71">
                  <c:v>101.99430199430199</c:v>
                </c:pt>
                <c:pt idx="72">
                  <c:v>102.05535205535203</c:v>
                </c:pt>
                <c:pt idx="73">
                  <c:v>101.95360195360195</c:v>
                </c:pt>
                <c:pt idx="74">
                  <c:v>102.14692714692714</c:v>
                </c:pt>
                <c:pt idx="75">
                  <c:v>102.56410256410255</c:v>
                </c:pt>
                <c:pt idx="76">
                  <c:v>102.82865282865281</c:v>
                </c:pt>
                <c:pt idx="77">
                  <c:v>103.33740333740333</c:v>
                </c:pt>
                <c:pt idx="78">
                  <c:v>103.22547822547823</c:v>
                </c:pt>
                <c:pt idx="79">
                  <c:v>103.33740333740333</c:v>
                </c:pt>
                <c:pt idx="80">
                  <c:v>103.88685388685388</c:v>
                </c:pt>
                <c:pt idx="81">
                  <c:v>103.85632885632884</c:v>
                </c:pt>
                <c:pt idx="82">
                  <c:v>103.82580382580382</c:v>
                </c:pt>
                <c:pt idx="83">
                  <c:v>103.67317867317867</c:v>
                </c:pt>
                <c:pt idx="84">
                  <c:v>103.76475376475376</c:v>
                </c:pt>
                <c:pt idx="85">
                  <c:v>103.65282865282866</c:v>
                </c:pt>
                <c:pt idx="86">
                  <c:v>103.1949531949532</c:v>
                </c:pt>
                <c:pt idx="87">
                  <c:v>103.68335368335366</c:v>
                </c:pt>
                <c:pt idx="88">
                  <c:v>103.51037851037852</c:v>
                </c:pt>
                <c:pt idx="89">
                  <c:v>103.46967846967846</c:v>
                </c:pt>
                <c:pt idx="90">
                  <c:v>103.90720390720392</c:v>
                </c:pt>
                <c:pt idx="91">
                  <c:v>103.76475376475376</c:v>
                </c:pt>
                <c:pt idx="92">
                  <c:v>103.22547822547823</c:v>
                </c:pt>
                <c:pt idx="93">
                  <c:v>102.93040293040295</c:v>
                </c:pt>
                <c:pt idx="94">
                  <c:v>102.34025234025235</c:v>
                </c:pt>
                <c:pt idx="95">
                  <c:v>102.68620268620271</c:v>
                </c:pt>
                <c:pt idx="96">
                  <c:v>102.6963776963777</c:v>
                </c:pt>
                <c:pt idx="97">
                  <c:v>102.73707773707774</c:v>
                </c:pt>
                <c:pt idx="98">
                  <c:v>102.82865282865281</c:v>
                </c:pt>
                <c:pt idx="99">
                  <c:v>102.59462759462758</c:v>
                </c:pt>
                <c:pt idx="100">
                  <c:v>102.83882783882783</c:v>
                </c:pt>
                <c:pt idx="101">
                  <c:v>102.6149776149776</c:v>
                </c:pt>
                <c:pt idx="102">
                  <c:v>102.10622710622712</c:v>
                </c:pt>
                <c:pt idx="103">
                  <c:v>101.91290191290192</c:v>
                </c:pt>
                <c:pt idx="104">
                  <c:v>102.16727716727716</c:v>
                </c:pt>
                <c:pt idx="105">
                  <c:v>102.66585266585267</c:v>
                </c:pt>
                <c:pt idx="106">
                  <c:v>102.45217745217745</c:v>
                </c:pt>
                <c:pt idx="107">
                  <c:v>102.54375254375255</c:v>
                </c:pt>
                <c:pt idx="108">
                  <c:v>101.94342694342696</c:v>
                </c:pt>
                <c:pt idx="109">
                  <c:v>101.44485144485145</c:v>
                </c:pt>
                <c:pt idx="110">
                  <c:v>101.11925111925113</c:v>
                </c:pt>
                <c:pt idx="111">
                  <c:v>101.10907610907611</c:v>
                </c:pt>
                <c:pt idx="112">
                  <c:v>100.62067562067563</c:v>
                </c:pt>
                <c:pt idx="113">
                  <c:v>100.37647537647538</c:v>
                </c:pt>
                <c:pt idx="114">
                  <c:v>100.67155067155068</c:v>
                </c:pt>
                <c:pt idx="115">
                  <c:v>100.90557590557592</c:v>
                </c:pt>
                <c:pt idx="116">
                  <c:v>101.25152625152624</c:v>
                </c:pt>
                <c:pt idx="117">
                  <c:v>101.22100122100122</c:v>
                </c:pt>
                <c:pt idx="118">
                  <c:v>101.64835164835165</c:v>
                </c:pt>
                <c:pt idx="119">
                  <c:v>101.61782661782661</c:v>
                </c:pt>
                <c:pt idx="120">
                  <c:v>101.71957671957672</c:v>
                </c:pt>
                <c:pt idx="121">
                  <c:v>101.32275132275133</c:v>
                </c:pt>
                <c:pt idx="122">
                  <c:v>99.806674806674806</c:v>
                </c:pt>
                <c:pt idx="123">
                  <c:v>99.501424501424495</c:v>
                </c:pt>
                <c:pt idx="124">
                  <c:v>98.992673992673986</c:v>
                </c:pt>
                <c:pt idx="125">
                  <c:v>99.308099308099301</c:v>
                </c:pt>
                <c:pt idx="126">
                  <c:v>99.430199430199423</c:v>
                </c:pt>
                <c:pt idx="127">
                  <c:v>99.369149369149369</c:v>
                </c:pt>
                <c:pt idx="128">
                  <c:v>99.399674399674396</c:v>
                </c:pt>
                <c:pt idx="129">
                  <c:v>100.45787545787546</c:v>
                </c:pt>
                <c:pt idx="130">
                  <c:v>100.21367521367522</c:v>
                </c:pt>
                <c:pt idx="131">
                  <c:v>100.3866503866504</c:v>
                </c:pt>
                <c:pt idx="132">
                  <c:v>100.22385022385023</c:v>
                </c:pt>
                <c:pt idx="133">
                  <c:v>100.97680097680097</c:v>
                </c:pt>
                <c:pt idx="134">
                  <c:v>101.06837606837607</c:v>
                </c:pt>
                <c:pt idx="135">
                  <c:v>101.04802604802605</c:v>
                </c:pt>
                <c:pt idx="136">
                  <c:v>100.6919006919007</c:v>
                </c:pt>
                <c:pt idx="137">
                  <c:v>100.71225071225072</c:v>
                </c:pt>
                <c:pt idx="138">
                  <c:v>100.13227513227514</c:v>
                </c:pt>
                <c:pt idx="139">
                  <c:v>100.19332519332519</c:v>
                </c:pt>
                <c:pt idx="140">
                  <c:v>100.54945054945054</c:v>
                </c:pt>
                <c:pt idx="141">
                  <c:v>100.48840048840049</c:v>
                </c:pt>
                <c:pt idx="142">
                  <c:v>100.42735042735043</c:v>
                </c:pt>
                <c:pt idx="143">
                  <c:v>99.888074888074883</c:v>
                </c:pt>
                <c:pt idx="144">
                  <c:v>99.847374847374837</c:v>
                </c:pt>
                <c:pt idx="145">
                  <c:v>100.23402523402522</c:v>
                </c:pt>
                <c:pt idx="146">
                  <c:v>100.24420024420024</c:v>
                </c:pt>
                <c:pt idx="147">
                  <c:v>100.84452584452583</c:v>
                </c:pt>
                <c:pt idx="148">
                  <c:v>101.13960113960114</c:v>
                </c:pt>
                <c:pt idx="149">
                  <c:v>100.94627594627595</c:v>
                </c:pt>
                <c:pt idx="150">
                  <c:v>100.79365079365078</c:v>
                </c:pt>
                <c:pt idx="151">
                  <c:v>100.72242572242571</c:v>
                </c:pt>
                <c:pt idx="152">
                  <c:v>100.98697598697599</c:v>
                </c:pt>
                <c:pt idx="153">
                  <c:v>99.898249898249901</c:v>
                </c:pt>
                <c:pt idx="154">
                  <c:v>98.901098901098891</c:v>
                </c:pt>
                <c:pt idx="155">
                  <c:v>99.358974358974365</c:v>
                </c:pt>
                <c:pt idx="156">
                  <c:v>98.880748880748882</c:v>
                </c:pt>
                <c:pt idx="157">
                  <c:v>99.287749287749278</c:v>
                </c:pt>
                <c:pt idx="158">
                  <c:v>98.941798941798936</c:v>
                </c:pt>
                <c:pt idx="159">
                  <c:v>98.738298738298752</c:v>
                </c:pt>
                <c:pt idx="160">
                  <c:v>99.236874236874229</c:v>
                </c:pt>
                <c:pt idx="161">
                  <c:v>98.992673992673986</c:v>
                </c:pt>
                <c:pt idx="162">
                  <c:v>99.420024420024404</c:v>
                </c:pt>
                <c:pt idx="163">
                  <c:v>99.613349613349612</c:v>
                </c:pt>
                <c:pt idx="164">
                  <c:v>99.755799755799757</c:v>
                </c:pt>
                <c:pt idx="165">
                  <c:v>99.562474562474563</c:v>
                </c:pt>
                <c:pt idx="166">
                  <c:v>99.765974765974775</c:v>
                </c:pt>
                <c:pt idx="167">
                  <c:v>100.13227513227514</c:v>
                </c:pt>
                <c:pt idx="168">
                  <c:v>99.236874236874229</c:v>
                </c:pt>
                <c:pt idx="169">
                  <c:v>99.674399674399666</c:v>
                </c:pt>
                <c:pt idx="170">
                  <c:v>99.745624745624738</c:v>
                </c:pt>
                <c:pt idx="171">
                  <c:v>99.847374847374837</c:v>
                </c:pt>
                <c:pt idx="172">
                  <c:v>100.36630036630036</c:v>
                </c:pt>
                <c:pt idx="173">
                  <c:v>100.76312576312576</c:v>
                </c:pt>
                <c:pt idx="174">
                  <c:v>100.71225071225072</c:v>
                </c:pt>
                <c:pt idx="175">
                  <c:v>100.43752543752544</c:v>
                </c:pt>
                <c:pt idx="176">
                  <c:v>99.847374847374837</c:v>
                </c:pt>
                <c:pt idx="177">
                  <c:v>100.37647537647538</c:v>
                </c:pt>
                <c:pt idx="178">
                  <c:v>100.48840048840049</c:v>
                </c:pt>
                <c:pt idx="179">
                  <c:v>100.78347578347579</c:v>
                </c:pt>
                <c:pt idx="180">
                  <c:v>100.88522588522588</c:v>
                </c:pt>
                <c:pt idx="181">
                  <c:v>101.05820105820105</c:v>
                </c:pt>
                <c:pt idx="182">
                  <c:v>100.63085063085062</c:v>
                </c:pt>
                <c:pt idx="183">
                  <c:v>100.77330077330078</c:v>
                </c:pt>
                <c:pt idx="184">
                  <c:v>100.95645095645096</c:v>
                </c:pt>
                <c:pt idx="185">
                  <c:v>100.96662596662595</c:v>
                </c:pt>
                <c:pt idx="186">
                  <c:v>101.20065120065121</c:v>
                </c:pt>
                <c:pt idx="187">
                  <c:v>101.0887260887261</c:v>
                </c:pt>
                <c:pt idx="188">
                  <c:v>101.007326007326</c:v>
                </c:pt>
                <c:pt idx="189">
                  <c:v>100.7020757020757</c:v>
                </c:pt>
                <c:pt idx="190">
                  <c:v>100.23402523402522</c:v>
                </c:pt>
                <c:pt idx="191">
                  <c:v>100.87505087505086</c:v>
                </c:pt>
                <c:pt idx="192">
                  <c:v>101.06837606837607</c:v>
                </c:pt>
                <c:pt idx="193">
                  <c:v>100.76312576312576</c:v>
                </c:pt>
                <c:pt idx="194">
                  <c:v>101.53642653642653</c:v>
                </c:pt>
              </c:numCache>
            </c:numRef>
          </c:val>
          <c:smooth val="0"/>
        </c:ser>
        <c:dLbls>
          <c:showLegendKey val="0"/>
          <c:showVal val="0"/>
          <c:showCatName val="0"/>
          <c:showSerName val="0"/>
          <c:showPercent val="0"/>
          <c:showBubbleSize val="0"/>
        </c:dLbls>
        <c:smooth val="0"/>
        <c:axId val="472660816"/>
        <c:axId val="472661600"/>
      </c:lineChart>
      <c:dateAx>
        <c:axId val="472660816"/>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2661600"/>
        <c:crosses val="autoZero"/>
        <c:auto val="1"/>
        <c:lblOffset val="100"/>
        <c:baseTimeUnit val="days"/>
        <c:majorUnit val="1"/>
        <c:majorTimeUnit val="months"/>
      </c:dateAx>
      <c:valAx>
        <c:axId val="472661600"/>
        <c:scaling>
          <c:orientation val="minMax"/>
          <c:max val="110"/>
          <c:min val="9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266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0"/>
          <c:order val="0"/>
          <c:tx>
            <c:strRef>
              <c:f>Currency!$Y$68</c:f>
              <c:strCache>
                <c:ptCount val="1"/>
                <c:pt idx="0">
                  <c:v>USD Index</c:v>
                </c:pt>
              </c:strCache>
            </c:strRef>
          </c:tx>
          <c:spPr>
            <a:ln w="28575" cap="rnd">
              <a:solidFill>
                <a:schemeClr val="accent5">
                  <a:lumMod val="60000"/>
                </a:schemeClr>
              </a:solidFill>
              <a:round/>
            </a:ln>
            <a:effectLst/>
          </c:spPr>
          <c:marker>
            <c:symbol val="none"/>
          </c:marker>
          <c:cat>
            <c:numRef>
              <c:f>Currency!$N$266:$N$460</c:f>
              <c:numCache>
                <c:formatCode>[$-409]mmmm/yy;@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Currency!$Y$266:$Y$460</c:f>
              <c:numCache>
                <c:formatCode>0.00</c:formatCode>
                <c:ptCount val="195"/>
                <c:pt idx="0">
                  <c:v>99.908498227153146</c:v>
                </c:pt>
                <c:pt idx="1">
                  <c:v>100.67170619612573</c:v>
                </c:pt>
                <c:pt idx="2">
                  <c:v>100.13725265927027</c:v>
                </c:pt>
                <c:pt idx="3">
                  <c:v>100.00623875723956</c:v>
                </c:pt>
                <c:pt idx="4">
                  <c:v>99.472825013257349</c:v>
                </c:pt>
                <c:pt idx="5">
                  <c:v>99.719255924219894</c:v>
                </c:pt>
                <c:pt idx="6">
                  <c:v>99.008037598910292</c:v>
                </c:pt>
                <c:pt idx="7">
                  <c:v>99.340771318353376</c:v>
                </c:pt>
                <c:pt idx="8">
                  <c:v>99.476984184750393</c:v>
                </c:pt>
                <c:pt idx="9">
                  <c:v>99.414596612354828</c:v>
                </c:pt>
                <c:pt idx="10">
                  <c:v>99.860667754983211</c:v>
                </c:pt>
                <c:pt idx="11">
                  <c:v>99.8814636124484</c:v>
                </c:pt>
                <c:pt idx="12">
                  <c:v>99.887702369687958</c:v>
                </c:pt>
                <c:pt idx="13">
                  <c:v>100.16948623834132</c:v>
                </c:pt>
                <c:pt idx="14">
                  <c:v>100.16948623834132</c:v>
                </c:pt>
                <c:pt idx="15">
                  <c:v>100.13517307352376</c:v>
                </c:pt>
                <c:pt idx="16">
                  <c:v>99.948010356337022</c:v>
                </c:pt>
                <c:pt idx="17">
                  <c:v>100.44503134975513</c:v>
                </c:pt>
                <c:pt idx="18">
                  <c:v>99.60591850103458</c:v>
                </c:pt>
                <c:pt idx="19">
                  <c:v>99.556008443118131</c:v>
                </c:pt>
                <c:pt idx="20">
                  <c:v>99.633992908612598</c:v>
                </c:pt>
                <c:pt idx="21">
                  <c:v>99.133852536574722</c:v>
                </c:pt>
                <c:pt idx="22">
                  <c:v>99.381323240410509</c:v>
                </c:pt>
                <c:pt idx="23">
                  <c:v>99.382363033283767</c:v>
                </c:pt>
                <c:pt idx="24">
                  <c:v>99.666226487683645</c:v>
                </c:pt>
                <c:pt idx="25">
                  <c:v>99.889781955434458</c:v>
                </c:pt>
                <c:pt idx="26">
                  <c:v>100.22563505349736</c:v>
                </c:pt>
                <c:pt idx="27">
                  <c:v>100.34729081966873</c:v>
                </c:pt>
                <c:pt idx="28">
                  <c:v>100.48246389319246</c:v>
                </c:pt>
                <c:pt idx="29">
                  <c:v>100.91917689996153</c:v>
                </c:pt>
                <c:pt idx="30">
                  <c:v>100.55732898006717</c:v>
                </c:pt>
                <c:pt idx="31">
                  <c:v>100.99404198683624</c:v>
                </c:pt>
                <c:pt idx="32">
                  <c:v>100.83703326297402</c:v>
                </c:pt>
                <c:pt idx="33">
                  <c:v>100.76008859035279</c:v>
                </c:pt>
                <c:pt idx="34">
                  <c:v>100.76008859035279</c:v>
                </c:pt>
                <c:pt idx="35">
                  <c:v>100.36080812702109</c:v>
                </c:pt>
                <c:pt idx="36">
                  <c:v>100.29218179738595</c:v>
                </c:pt>
                <c:pt idx="37">
                  <c:v>100.44919052124817</c:v>
                </c:pt>
                <c:pt idx="38">
                  <c:v>100.34729081966873</c:v>
                </c:pt>
                <c:pt idx="39">
                  <c:v>100.24955028958232</c:v>
                </c:pt>
                <c:pt idx="40">
                  <c:v>99.823235211545864</c:v>
                </c:pt>
                <c:pt idx="41">
                  <c:v>99.980243935408069</c:v>
                </c:pt>
                <c:pt idx="42">
                  <c:v>99.983363314027841</c:v>
                </c:pt>
                <c:pt idx="43">
                  <c:v>100.3680866771339</c:v>
                </c:pt>
                <c:pt idx="44">
                  <c:v>100.52925457248915</c:v>
                </c:pt>
                <c:pt idx="45">
                  <c:v>100.72057646116895</c:v>
                </c:pt>
                <c:pt idx="46">
                  <c:v>100.72785501128176</c:v>
                </c:pt>
                <c:pt idx="47">
                  <c:v>101.55345055264991</c:v>
                </c:pt>
                <c:pt idx="48">
                  <c:v>101.17808532540317</c:v>
                </c:pt>
                <c:pt idx="49">
                  <c:v>101.08346417393655</c:v>
                </c:pt>
                <c:pt idx="50">
                  <c:v>100.79232216942384</c:v>
                </c:pt>
                <c:pt idx="51">
                  <c:v>100.39200191321889</c:v>
                </c:pt>
                <c:pt idx="52">
                  <c:v>100.63635323843489</c:v>
                </c:pt>
                <c:pt idx="53">
                  <c:v>100.43879259251555</c:v>
                </c:pt>
                <c:pt idx="54">
                  <c:v>100.36496729851414</c:v>
                </c:pt>
                <c:pt idx="55">
                  <c:v>100.21835650338451</c:v>
                </c:pt>
                <c:pt idx="56">
                  <c:v>99.571605336217019</c:v>
                </c:pt>
                <c:pt idx="57">
                  <c:v>100.33481330518961</c:v>
                </c:pt>
                <c:pt idx="58">
                  <c:v>100.4970209934181</c:v>
                </c:pt>
                <c:pt idx="59">
                  <c:v>100.40863859919105</c:v>
                </c:pt>
                <c:pt idx="60">
                  <c:v>100.58540338764519</c:v>
                </c:pt>
                <c:pt idx="61">
                  <c:v>100.62491551682903</c:v>
                </c:pt>
                <c:pt idx="62">
                  <c:v>101.06994686658417</c:v>
                </c:pt>
                <c:pt idx="63">
                  <c:v>101.15520988219147</c:v>
                </c:pt>
                <c:pt idx="64">
                  <c:v>101.10114065278198</c:v>
                </c:pt>
                <c:pt idx="65">
                  <c:v>101.23527393343245</c:v>
                </c:pt>
                <c:pt idx="66">
                  <c:v>100.95452985765235</c:v>
                </c:pt>
                <c:pt idx="67">
                  <c:v>101.18016491114969</c:v>
                </c:pt>
                <c:pt idx="68">
                  <c:v>101.27062689112327</c:v>
                </c:pt>
                <c:pt idx="69">
                  <c:v>100.91189834984871</c:v>
                </c:pt>
                <c:pt idx="70">
                  <c:v>100.86614746342528</c:v>
                </c:pt>
                <c:pt idx="71">
                  <c:v>100.8037598910297</c:v>
                </c:pt>
                <c:pt idx="72">
                  <c:v>101.0439520447527</c:v>
                </c:pt>
                <c:pt idx="73">
                  <c:v>100.83079450573445</c:v>
                </c:pt>
                <c:pt idx="74">
                  <c:v>100.79960071953667</c:v>
                </c:pt>
                <c:pt idx="75">
                  <c:v>100.90461979973591</c:v>
                </c:pt>
                <c:pt idx="76">
                  <c:v>100.86926684204506</c:v>
                </c:pt>
                <c:pt idx="77">
                  <c:v>101.3527705281108</c:v>
                </c:pt>
                <c:pt idx="78">
                  <c:v>101.25295041227787</c:v>
                </c:pt>
                <c:pt idx="79">
                  <c:v>101.15832926081126</c:v>
                </c:pt>
                <c:pt idx="80">
                  <c:v>101.52121697357886</c:v>
                </c:pt>
                <c:pt idx="81">
                  <c:v>102.0795857465193</c:v>
                </c:pt>
                <c:pt idx="82">
                  <c:v>102.11077953271707</c:v>
                </c:pt>
                <c:pt idx="83">
                  <c:v>101.90594033668494</c:v>
                </c:pt>
                <c:pt idx="84">
                  <c:v>101.75101119856924</c:v>
                </c:pt>
                <c:pt idx="85">
                  <c:v>101.35796949247711</c:v>
                </c:pt>
                <c:pt idx="86">
                  <c:v>101.57320661724185</c:v>
                </c:pt>
                <c:pt idx="87">
                  <c:v>101.72501637673774</c:v>
                </c:pt>
                <c:pt idx="88">
                  <c:v>101.40060100028074</c:v>
                </c:pt>
                <c:pt idx="89">
                  <c:v>101.39540203591444</c:v>
                </c:pt>
                <c:pt idx="90">
                  <c:v>101.51289863059279</c:v>
                </c:pt>
                <c:pt idx="91">
                  <c:v>101.50769966622649</c:v>
                </c:pt>
                <c:pt idx="92">
                  <c:v>101.24775144791158</c:v>
                </c:pt>
                <c:pt idx="93">
                  <c:v>101.20304035436141</c:v>
                </c:pt>
                <c:pt idx="94">
                  <c:v>101.19160263275555</c:v>
                </c:pt>
                <c:pt idx="95">
                  <c:v>101.40683975752029</c:v>
                </c:pt>
                <c:pt idx="96">
                  <c:v>101.45155085107046</c:v>
                </c:pt>
                <c:pt idx="97">
                  <c:v>101.74893161282273</c:v>
                </c:pt>
                <c:pt idx="98">
                  <c:v>101.89450261507909</c:v>
                </c:pt>
                <c:pt idx="99">
                  <c:v>101.83003545693698</c:v>
                </c:pt>
                <c:pt idx="100">
                  <c:v>101.96416873758747</c:v>
                </c:pt>
                <c:pt idx="101">
                  <c:v>101.94233308724901</c:v>
                </c:pt>
                <c:pt idx="102">
                  <c:v>101.74997140569597</c:v>
                </c:pt>
                <c:pt idx="103">
                  <c:v>101.4973017374939</c:v>
                </c:pt>
                <c:pt idx="104">
                  <c:v>101.4973017374939</c:v>
                </c:pt>
                <c:pt idx="105">
                  <c:v>101.84979152152891</c:v>
                </c:pt>
                <c:pt idx="106">
                  <c:v>102.04943175319477</c:v>
                </c:pt>
                <c:pt idx="107">
                  <c:v>102.04735216744825</c:v>
                </c:pt>
                <c:pt idx="108">
                  <c:v>101.63975336113047</c:v>
                </c:pt>
                <c:pt idx="109">
                  <c:v>101.00755929418858</c:v>
                </c:pt>
                <c:pt idx="110">
                  <c:v>100.93477379306042</c:v>
                </c:pt>
                <c:pt idx="111">
                  <c:v>101.1926424256288</c:v>
                </c:pt>
                <c:pt idx="112">
                  <c:v>100.90565959260915</c:v>
                </c:pt>
                <c:pt idx="113">
                  <c:v>100.38576315597932</c:v>
                </c:pt>
                <c:pt idx="114">
                  <c:v>100.61139820947666</c:v>
                </c:pt>
                <c:pt idx="115">
                  <c:v>100.53341374398221</c:v>
                </c:pt>
                <c:pt idx="116">
                  <c:v>100.85990870618573</c:v>
                </c:pt>
                <c:pt idx="117">
                  <c:v>100.87342601353811</c:v>
                </c:pt>
                <c:pt idx="118">
                  <c:v>101.45467022969024</c:v>
                </c:pt>
                <c:pt idx="119">
                  <c:v>101.44011312946462</c:v>
                </c:pt>
                <c:pt idx="120">
                  <c:v>101.52953531656495</c:v>
                </c:pt>
                <c:pt idx="121">
                  <c:v>100.98156447235711</c:v>
                </c:pt>
                <c:pt idx="122">
                  <c:v>100.4741455502064</c:v>
                </c:pt>
                <c:pt idx="123">
                  <c:v>100.04887026504321</c:v>
                </c:pt>
                <c:pt idx="124">
                  <c:v>99.79931997546089</c:v>
                </c:pt>
                <c:pt idx="125">
                  <c:v>99.965686835182439</c:v>
                </c:pt>
                <c:pt idx="126">
                  <c:v>100.04263150780363</c:v>
                </c:pt>
                <c:pt idx="127">
                  <c:v>100.02183565033846</c:v>
                </c:pt>
                <c:pt idx="128">
                  <c:v>99.955288906449823</c:v>
                </c:pt>
                <c:pt idx="129">
                  <c:v>100.69770101795721</c:v>
                </c:pt>
                <c:pt idx="130">
                  <c:v>100.57500545891259</c:v>
                </c:pt>
                <c:pt idx="131">
                  <c:v>100.61867675958949</c:v>
                </c:pt>
                <c:pt idx="132">
                  <c:v>100.61867675958949</c:v>
                </c:pt>
                <c:pt idx="133">
                  <c:v>101.15728946793799</c:v>
                </c:pt>
                <c:pt idx="134">
                  <c:v>101.25918916951744</c:v>
                </c:pt>
                <c:pt idx="135">
                  <c:v>101.3683674212097</c:v>
                </c:pt>
                <c:pt idx="136">
                  <c:v>100.96804716500473</c:v>
                </c:pt>
                <c:pt idx="137">
                  <c:v>100.91189834984871</c:v>
                </c:pt>
                <c:pt idx="138">
                  <c:v>100.6623480602664</c:v>
                </c:pt>
                <c:pt idx="139">
                  <c:v>100.79024258367735</c:v>
                </c:pt>
                <c:pt idx="140">
                  <c:v>101.27062689112327</c:v>
                </c:pt>
                <c:pt idx="141">
                  <c:v>101.09178251692263</c:v>
                </c:pt>
                <c:pt idx="142">
                  <c:v>100.64571137429424</c:v>
                </c:pt>
                <c:pt idx="143">
                  <c:v>101.01691743004793</c:v>
                </c:pt>
                <c:pt idx="144">
                  <c:v>101.12713547461345</c:v>
                </c:pt>
                <c:pt idx="145">
                  <c:v>101.59296268183378</c:v>
                </c:pt>
                <c:pt idx="146">
                  <c:v>101.617917710792</c:v>
                </c:pt>
                <c:pt idx="147">
                  <c:v>101.71045927651213</c:v>
                </c:pt>
                <c:pt idx="148">
                  <c:v>101.91009950817798</c:v>
                </c:pt>
                <c:pt idx="149">
                  <c:v>101.9454524658688</c:v>
                </c:pt>
                <c:pt idx="150">
                  <c:v>101.95169122310834</c:v>
                </c:pt>
                <c:pt idx="151">
                  <c:v>102.43623470204734</c:v>
                </c:pt>
                <c:pt idx="152">
                  <c:v>102.28338514967818</c:v>
                </c:pt>
                <c:pt idx="153">
                  <c:v>101.97664625206659</c:v>
                </c:pt>
                <c:pt idx="154">
                  <c:v>101.40268058602726</c:v>
                </c:pt>
                <c:pt idx="155">
                  <c:v>101.5149782163393</c:v>
                </c:pt>
                <c:pt idx="156">
                  <c:v>101.42555602923898</c:v>
                </c:pt>
                <c:pt idx="157">
                  <c:v>101.50250070186017</c:v>
                </c:pt>
                <c:pt idx="158">
                  <c:v>101.37044700695621</c:v>
                </c:pt>
                <c:pt idx="159">
                  <c:v>101.25502999802438</c:v>
                </c:pt>
                <c:pt idx="160">
                  <c:v>101.70422051927255</c:v>
                </c:pt>
                <c:pt idx="161">
                  <c:v>101.88618427209299</c:v>
                </c:pt>
                <c:pt idx="162">
                  <c:v>102.04943175319477</c:v>
                </c:pt>
                <c:pt idx="163">
                  <c:v>102.04735216744825</c:v>
                </c:pt>
                <c:pt idx="164">
                  <c:v>102.26050970646648</c:v>
                </c:pt>
                <c:pt idx="165">
                  <c:v>102.0972622253647</c:v>
                </c:pt>
                <c:pt idx="166">
                  <c:v>102.20644047705696</c:v>
                </c:pt>
                <c:pt idx="167">
                  <c:v>102.07646636789951</c:v>
                </c:pt>
                <c:pt idx="168">
                  <c:v>101.52537614507192</c:v>
                </c:pt>
                <c:pt idx="169">
                  <c:v>101.98392480217942</c:v>
                </c:pt>
                <c:pt idx="170">
                  <c:v>101.89866178657209</c:v>
                </c:pt>
                <c:pt idx="171">
                  <c:v>102.1180580828299</c:v>
                </c:pt>
                <c:pt idx="172">
                  <c:v>102.42687656618801</c:v>
                </c:pt>
                <c:pt idx="173">
                  <c:v>102.85215185135121</c:v>
                </c:pt>
                <c:pt idx="174">
                  <c:v>102.85215185135121</c:v>
                </c:pt>
                <c:pt idx="175">
                  <c:v>102.93949445270502</c:v>
                </c:pt>
                <c:pt idx="176">
                  <c:v>102.36864816528546</c:v>
                </c:pt>
                <c:pt idx="177">
                  <c:v>102.33017582897487</c:v>
                </c:pt>
                <c:pt idx="178">
                  <c:v>102.30937997150968</c:v>
                </c:pt>
                <c:pt idx="179">
                  <c:v>102.19188337683134</c:v>
                </c:pt>
                <c:pt idx="180">
                  <c:v>102.238674056128</c:v>
                </c:pt>
                <c:pt idx="181">
                  <c:v>102.57036798269783</c:v>
                </c:pt>
                <c:pt idx="182">
                  <c:v>102.2209975772826</c:v>
                </c:pt>
                <c:pt idx="183">
                  <c:v>102.16692834787311</c:v>
                </c:pt>
                <c:pt idx="184">
                  <c:v>102.53397523213377</c:v>
                </c:pt>
                <c:pt idx="185">
                  <c:v>102.17108751936614</c:v>
                </c:pt>
                <c:pt idx="186">
                  <c:v>102.48302538134404</c:v>
                </c:pt>
                <c:pt idx="187">
                  <c:v>102.182525240972</c:v>
                </c:pt>
                <c:pt idx="188">
                  <c:v>102.43311532342759</c:v>
                </c:pt>
                <c:pt idx="189">
                  <c:v>102.52253751052791</c:v>
                </c:pt>
                <c:pt idx="190">
                  <c:v>102.25011177773389</c:v>
                </c:pt>
                <c:pt idx="191">
                  <c:v>102.97796678901562</c:v>
                </c:pt>
                <c:pt idx="192">
                  <c:v>103.07674711197529</c:v>
                </c:pt>
                <c:pt idx="193">
                  <c:v>103.05283187589032</c:v>
                </c:pt>
                <c:pt idx="194">
                  <c:v>103.3314963659239</c:v>
                </c:pt>
              </c:numCache>
            </c:numRef>
          </c:val>
          <c:smooth val="0"/>
        </c:ser>
        <c:ser>
          <c:idx val="0"/>
          <c:order val="1"/>
          <c:tx>
            <c:strRef>
              <c:f>Currency!$Z$68</c:f>
              <c:strCache>
                <c:ptCount val="1"/>
                <c:pt idx="0">
                  <c:v>MSCI EM Index</c:v>
                </c:pt>
              </c:strCache>
            </c:strRef>
          </c:tx>
          <c:spPr>
            <a:ln w="28575" cap="rnd">
              <a:solidFill>
                <a:schemeClr val="accent1"/>
              </a:solidFill>
              <a:round/>
            </a:ln>
            <a:effectLst/>
          </c:spPr>
          <c:marker>
            <c:symbol val="none"/>
          </c:marker>
          <c:cat>
            <c:numRef>
              <c:f>Currency!$N$266:$N$460</c:f>
              <c:numCache>
                <c:formatCode>[$-409]mmmm/yy;@</c:formatCode>
                <c:ptCount val="195"/>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numCache>
            </c:numRef>
          </c:cat>
          <c:val>
            <c:numRef>
              <c:f>Currency!$Z$266:$Z$460</c:f>
              <c:numCache>
                <c:formatCode>0.00</c:formatCode>
                <c:ptCount val="195"/>
                <c:pt idx="0">
                  <c:v>100.00928901852231</c:v>
                </c:pt>
                <c:pt idx="1">
                  <c:v>100.12013797288846</c:v>
                </c:pt>
                <c:pt idx="2">
                  <c:v>100.02848632346839</c:v>
                </c:pt>
                <c:pt idx="3">
                  <c:v>100.59449718542739</c:v>
                </c:pt>
                <c:pt idx="4">
                  <c:v>101.00259473250723</c:v>
                </c:pt>
                <c:pt idx="5">
                  <c:v>100.73197465955748</c:v>
                </c:pt>
                <c:pt idx="6">
                  <c:v>100.98463596336411</c:v>
                </c:pt>
                <c:pt idx="7">
                  <c:v>101.39149497464098</c:v>
                </c:pt>
                <c:pt idx="8">
                  <c:v>101.48128882035658</c:v>
                </c:pt>
                <c:pt idx="9">
                  <c:v>101.34195354252205</c:v>
                </c:pt>
                <c:pt idx="10">
                  <c:v>101.40202252896626</c:v>
                </c:pt>
                <c:pt idx="11">
                  <c:v>101.43050885243466</c:v>
                </c:pt>
                <c:pt idx="12">
                  <c:v>101.19580631777112</c:v>
                </c:pt>
                <c:pt idx="13">
                  <c:v>101.31904063016701</c:v>
                </c:pt>
                <c:pt idx="14">
                  <c:v>101.03108105597562</c:v>
                </c:pt>
                <c:pt idx="15">
                  <c:v>100.79390144970617</c:v>
                </c:pt>
                <c:pt idx="16">
                  <c:v>100.99268644608344</c:v>
                </c:pt>
                <c:pt idx="17">
                  <c:v>101.17165486961315</c:v>
                </c:pt>
                <c:pt idx="18">
                  <c:v>101.48748149937144</c:v>
                </c:pt>
                <c:pt idx="19">
                  <c:v>101.62743604510747</c:v>
                </c:pt>
                <c:pt idx="20">
                  <c:v>101.81817055876543</c:v>
                </c:pt>
                <c:pt idx="21">
                  <c:v>101.98661142796985</c:v>
                </c:pt>
                <c:pt idx="22">
                  <c:v>102.57181959487494</c:v>
                </c:pt>
                <c:pt idx="23">
                  <c:v>102.25661223301815</c:v>
                </c:pt>
                <c:pt idx="24">
                  <c:v>102.1593871724847</c:v>
                </c:pt>
                <c:pt idx="25">
                  <c:v>102.15381376137131</c:v>
                </c:pt>
                <c:pt idx="26">
                  <c:v>102.05844650454232</c:v>
                </c:pt>
                <c:pt idx="27">
                  <c:v>101.8757624736037</c:v>
                </c:pt>
                <c:pt idx="28">
                  <c:v>101.87266613409626</c:v>
                </c:pt>
                <c:pt idx="29">
                  <c:v>101.4806695524551</c:v>
                </c:pt>
                <c:pt idx="30">
                  <c:v>101.63177092041789</c:v>
                </c:pt>
                <c:pt idx="31">
                  <c:v>101.60638093645693</c:v>
                </c:pt>
                <c:pt idx="32">
                  <c:v>101.20695313999791</c:v>
                </c:pt>
                <c:pt idx="33">
                  <c:v>101.28869650299414</c:v>
                </c:pt>
                <c:pt idx="34">
                  <c:v>101.42679324502572</c:v>
                </c:pt>
                <c:pt idx="35">
                  <c:v>101.52277976975621</c:v>
                </c:pt>
                <c:pt idx="36">
                  <c:v>101.93892779955536</c:v>
                </c:pt>
                <c:pt idx="37">
                  <c:v>101.8627578476725</c:v>
                </c:pt>
                <c:pt idx="38">
                  <c:v>101.91849195880629</c:v>
                </c:pt>
                <c:pt idx="39">
                  <c:v>102.26094710832854</c:v>
                </c:pt>
                <c:pt idx="40">
                  <c:v>102.14947888606089</c:v>
                </c:pt>
                <c:pt idx="41">
                  <c:v>102.21821762312595</c:v>
                </c:pt>
                <c:pt idx="42">
                  <c:v>102.05535016503491</c:v>
                </c:pt>
                <c:pt idx="43">
                  <c:v>101.81259714765206</c:v>
                </c:pt>
                <c:pt idx="44">
                  <c:v>101.84108347112044</c:v>
                </c:pt>
                <c:pt idx="45">
                  <c:v>101.89372124274682</c:v>
                </c:pt>
                <c:pt idx="46">
                  <c:v>101.75872084022271</c:v>
                </c:pt>
                <c:pt idx="47">
                  <c:v>101.4664263907209</c:v>
                </c:pt>
                <c:pt idx="48">
                  <c:v>101.26021017952579</c:v>
                </c:pt>
                <c:pt idx="49">
                  <c:v>101.4521832289867</c:v>
                </c:pt>
                <c:pt idx="50">
                  <c:v>101.75438596491229</c:v>
                </c:pt>
                <c:pt idx="51">
                  <c:v>101.71970696242903</c:v>
                </c:pt>
                <c:pt idx="52">
                  <c:v>101.60823874016138</c:v>
                </c:pt>
                <c:pt idx="53">
                  <c:v>101.78349155628217</c:v>
                </c:pt>
                <c:pt idx="54">
                  <c:v>102.04420334280813</c:v>
                </c:pt>
                <c:pt idx="55">
                  <c:v>102.12656597370588</c:v>
                </c:pt>
                <c:pt idx="56">
                  <c:v>102.24980028610177</c:v>
                </c:pt>
                <c:pt idx="57">
                  <c:v>102.40028238616307</c:v>
                </c:pt>
                <c:pt idx="58">
                  <c:v>101.84603761433233</c:v>
                </c:pt>
                <c:pt idx="59">
                  <c:v>102.0181940909457</c:v>
                </c:pt>
                <c:pt idx="60">
                  <c:v>101.91663415510183</c:v>
                </c:pt>
                <c:pt idx="61">
                  <c:v>101.52092196605173</c:v>
                </c:pt>
                <c:pt idx="62">
                  <c:v>101.38716009933057</c:v>
                </c:pt>
                <c:pt idx="63">
                  <c:v>101.62433970560004</c:v>
                </c:pt>
                <c:pt idx="64">
                  <c:v>101.9748453378416</c:v>
                </c:pt>
                <c:pt idx="65">
                  <c:v>101.88443222422453</c:v>
                </c:pt>
                <c:pt idx="66">
                  <c:v>102.19035056755902</c:v>
                </c:pt>
                <c:pt idx="67">
                  <c:v>101.98351508846241</c:v>
                </c:pt>
                <c:pt idx="68">
                  <c:v>102.03862993169474</c:v>
                </c:pt>
                <c:pt idx="69">
                  <c:v>101.87018906249033</c:v>
                </c:pt>
                <c:pt idx="70">
                  <c:v>102.10674940085831</c:v>
                </c:pt>
                <c:pt idx="71">
                  <c:v>102.2956261108118</c:v>
                </c:pt>
                <c:pt idx="72">
                  <c:v>102.27890587747166</c:v>
                </c:pt>
                <c:pt idx="73">
                  <c:v>102.25908930462408</c:v>
                </c:pt>
                <c:pt idx="74">
                  <c:v>102.29376830710733</c:v>
                </c:pt>
                <c:pt idx="75">
                  <c:v>102.16681838730253</c:v>
                </c:pt>
                <c:pt idx="76">
                  <c:v>102.33959413181736</c:v>
                </c:pt>
                <c:pt idx="77">
                  <c:v>102.16310277989362</c:v>
                </c:pt>
                <c:pt idx="78">
                  <c:v>102.17363033421888</c:v>
                </c:pt>
                <c:pt idx="79">
                  <c:v>102.03615286008881</c:v>
                </c:pt>
                <c:pt idx="80">
                  <c:v>101.87700100940668</c:v>
                </c:pt>
                <c:pt idx="81">
                  <c:v>101.62372043769857</c:v>
                </c:pt>
                <c:pt idx="82">
                  <c:v>101.26206798323022</c:v>
                </c:pt>
                <c:pt idx="83">
                  <c:v>101.4565181042971</c:v>
                </c:pt>
                <c:pt idx="84">
                  <c:v>101.52092196605173</c:v>
                </c:pt>
                <c:pt idx="85">
                  <c:v>101.42245836971533</c:v>
                </c:pt>
                <c:pt idx="86">
                  <c:v>101.49924758949969</c:v>
                </c:pt>
                <c:pt idx="87">
                  <c:v>101.29798552151648</c:v>
                </c:pt>
                <c:pt idx="88">
                  <c:v>101.44413274626739</c:v>
                </c:pt>
                <c:pt idx="89">
                  <c:v>101.17908608443098</c:v>
                </c:pt>
                <c:pt idx="90">
                  <c:v>101.20014119308154</c:v>
                </c:pt>
                <c:pt idx="91">
                  <c:v>101.24658628569306</c:v>
                </c:pt>
                <c:pt idx="92">
                  <c:v>100.65518543977312</c:v>
                </c:pt>
                <c:pt idx="93">
                  <c:v>100.90970454728421</c:v>
                </c:pt>
                <c:pt idx="94">
                  <c:v>100.29229444950181</c:v>
                </c:pt>
                <c:pt idx="95">
                  <c:v>100.30344127172856</c:v>
                </c:pt>
                <c:pt idx="96">
                  <c:v>100.39075804583821</c:v>
                </c:pt>
                <c:pt idx="97">
                  <c:v>100.31334955815234</c:v>
                </c:pt>
                <c:pt idx="98">
                  <c:v>99.822270112273287</c:v>
                </c:pt>
                <c:pt idx="99">
                  <c:v>99.87676568760412</c:v>
                </c:pt>
                <c:pt idx="100">
                  <c:v>99.914541029594815</c:v>
                </c:pt>
                <c:pt idx="101">
                  <c:v>100.04458728890707</c:v>
                </c:pt>
                <c:pt idx="102">
                  <c:v>99.866238133278856</c:v>
                </c:pt>
                <c:pt idx="103">
                  <c:v>100.09103238151857</c:v>
                </c:pt>
                <c:pt idx="104">
                  <c:v>100.28176689517652</c:v>
                </c:pt>
                <c:pt idx="105">
                  <c:v>99.978944891349457</c:v>
                </c:pt>
                <c:pt idx="106">
                  <c:v>99.822270112273287</c:v>
                </c:pt>
                <c:pt idx="107">
                  <c:v>100.047064360513</c:v>
                </c:pt>
                <c:pt idx="108">
                  <c:v>100.16906013710592</c:v>
                </c:pt>
                <c:pt idx="109">
                  <c:v>100.41862510140511</c:v>
                </c:pt>
                <c:pt idx="110">
                  <c:v>100.48984091007611</c:v>
                </c:pt>
                <c:pt idx="111">
                  <c:v>100.51708869774154</c:v>
                </c:pt>
                <c:pt idx="112">
                  <c:v>100.44029947795717</c:v>
                </c:pt>
                <c:pt idx="113">
                  <c:v>100.5331896631802</c:v>
                </c:pt>
                <c:pt idx="114">
                  <c:v>100.47497848044043</c:v>
                </c:pt>
                <c:pt idx="115">
                  <c:v>100.74745635709465</c:v>
                </c:pt>
                <c:pt idx="116">
                  <c:v>100.74188294598126</c:v>
                </c:pt>
                <c:pt idx="117">
                  <c:v>100.59821279283632</c:v>
                </c:pt>
                <c:pt idx="118">
                  <c:v>100.51708869774154</c:v>
                </c:pt>
                <c:pt idx="119">
                  <c:v>100.44277654956311</c:v>
                </c:pt>
                <c:pt idx="120">
                  <c:v>100.71958930152773</c:v>
                </c:pt>
                <c:pt idx="121">
                  <c:v>100.9759662127433</c:v>
                </c:pt>
                <c:pt idx="122">
                  <c:v>101.82684030938624</c:v>
                </c:pt>
                <c:pt idx="123">
                  <c:v>101.75686303651823</c:v>
                </c:pt>
                <c:pt idx="124">
                  <c:v>101.89619831435277</c:v>
                </c:pt>
                <c:pt idx="125">
                  <c:v>101.91168001188996</c:v>
                </c:pt>
                <c:pt idx="126">
                  <c:v>101.87947808101264</c:v>
                </c:pt>
                <c:pt idx="127">
                  <c:v>101.95564803289552</c:v>
                </c:pt>
                <c:pt idx="128">
                  <c:v>102.16496058359807</c:v>
                </c:pt>
                <c:pt idx="129">
                  <c:v>102.41019067258688</c:v>
                </c:pt>
                <c:pt idx="130">
                  <c:v>101.98784996377283</c:v>
                </c:pt>
                <c:pt idx="131">
                  <c:v>101.94388194276726</c:v>
                </c:pt>
                <c:pt idx="132">
                  <c:v>102.24980028610177</c:v>
                </c:pt>
                <c:pt idx="133">
                  <c:v>102.01695555514272</c:v>
                </c:pt>
                <c:pt idx="134">
                  <c:v>101.909202940284</c:v>
                </c:pt>
                <c:pt idx="135">
                  <c:v>101.88814783163345</c:v>
                </c:pt>
                <c:pt idx="136">
                  <c:v>102.03305652058138</c:v>
                </c:pt>
                <c:pt idx="137">
                  <c:v>102.44425040716865</c:v>
                </c:pt>
                <c:pt idx="138">
                  <c:v>102.24794248239731</c:v>
                </c:pt>
                <c:pt idx="139">
                  <c:v>102.44920455038053</c:v>
                </c:pt>
                <c:pt idx="140">
                  <c:v>102.38232361701995</c:v>
                </c:pt>
                <c:pt idx="141">
                  <c:v>102.25227735770773</c:v>
                </c:pt>
                <c:pt idx="142">
                  <c:v>102.36126850836942</c:v>
                </c:pt>
                <c:pt idx="143">
                  <c:v>102.47645233804596</c:v>
                </c:pt>
                <c:pt idx="144">
                  <c:v>102.42876870963147</c:v>
                </c:pt>
                <c:pt idx="145">
                  <c:v>102.28881416389544</c:v>
                </c:pt>
                <c:pt idx="146">
                  <c:v>102.36560338367981</c:v>
                </c:pt>
                <c:pt idx="147">
                  <c:v>102.22874517745122</c:v>
                </c:pt>
                <c:pt idx="148">
                  <c:v>102.05473089713341</c:v>
                </c:pt>
                <c:pt idx="149">
                  <c:v>102.02872164527096</c:v>
                </c:pt>
                <c:pt idx="150">
                  <c:v>102.10489159715384</c:v>
                </c:pt>
                <c:pt idx="151">
                  <c:v>102.18787349595308</c:v>
                </c:pt>
                <c:pt idx="152">
                  <c:v>101.57046339817069</c:v>
                </c:pt>
                <c:pt idx="153">
                  <c:v>100.79699778921361</c:v>
                </c:pt>
                <c:pt idx="154">
                  <c:v>99.750435035700789</c:v>
                </c:pt>
                <c:pt idx="155">
                  <c:v>99.734953338163621</c:v>
                </c:pt>
                <c:pt idx="156">
                  <c:v>99.634012670221267</c:v>
                </c:pt>
                <c:pt idx="157">
                  <c:v>99.905252011072506</c:v>
                </c:pt>
                <c:pt idx="158">
                  <c:v>99.786971841888516</c:v>
                </c:pt>
                <c:pt idx="159">
                  <c:v>99.427177191124656</c:v>
                </c:pt>
                <c:pt idx="160">
                  <c:v>99.424080851617219</c:v>
                </c:pt>
                <c:pt idx="161">
                  <c:v>99.502108607204562</c:v>
                </c:pt>
                <c:pt idx="162">
                  <c:v>99.4760993553421</c:v>
                </c:pt>
                <c:pt idx="163">
                  <c:v>99.525021519559587</c:v>
                </c:pt>
                <c:pt idx="164">
                  <c:v>99.325617255280818</c:v>
                </c:pt>
                <c:pt idx="165">
                  <c:v>99.276075823161861</c:v>
                </c:pt>
                <c:pt idx="166">
                  <c:v>99.467429604721303</c:v>
                </c:pt>
                <c:pt idx="167">
                  <c:v>99.251305107102382</c:v>
                </c:pt>
                <c:pt idx="168">
                  <c:v>99.301465807122824</c:v>
                </c:pt>
                <c:pt idx="169">
                  <c:v>98.65804645747798</c:v>
                </c:pt>
                <c:pt idx="170">
                  <c:v>98.60107381054118</c:v>
                </c:pt>
                <c:pt idx="171">
                  <c:v>98.50199094630328</c:v>
                </c:pt>
                <c:pt idx="172">
                  <c:v>98.524284590756821</c:v>
                </c:pt>
                <c:pt idx="173">
                  <c:v>98.801097342721448</c:v>
                </c:pt>
                <c:pt idx="174">
                  <c:v>98.667335476000275</c:v>
                </c:pt>
                <c:pt idx="175">
                  <c:v>98.466073408017039</c:v>
                </c:pt>
                <c:pt idx="176">
                  <c:v>99.051281574922129</c:v>
                </c:pt>
                <c:pt idx="177">
                  <c:v>99.307658486137697</c:v>
                </c:pt>
                <c:pt idx="178">
                  <c:v>99.607384150457335</c:v>
                </c:pt>
                <c:pt idx="179">
                  <c:v>99.639586081334656</c:v>
                </c:pt>
                <c:pt idx="180">
                  <c:v>99.721948712232404</c:v>
                </c:pt>
                <c:pt idx="181">
                  <c:v>99.786971841888516</c:v>
                </c:pt>
                <c:pt idx="182">
                  <c:v>100.21674376552041</c:v>
                </c:pt>
                <c:pt idx="183">
                  <c:v>100.38332683102038</c:v>
                </c:pt>
                <c:pt idx="184">
                  <c:v>100.42048290510959</c:v>
                </c:pt>
                <c:pt idx="185">
                  <c:v>100.0377753419907</c:v>
                </c:pt>
                <c:pt idx="186">
                  <c:v>100.19445012106689</c:v>
                </c:pt>
                <c:pt idx="187">
                  <c:v>100.04087168149813</c:v>
                </c:pt>
                <c:pt idx="188">
                  <c:v>100.03158266297582</c:v>
                </c:pt>
                <c:pt idx="189">
                  <c:v>99.843944488825315</c:v>
                </c:pt>
                <c:pt idx="190">
                  <c:v>99.872430812293715</c:v>
                </c:pt>
                <c:pt idx="191">
                  <c:v>99.662498993689653</c:v>
                </c:pt>
                <c:pt idx="192">
                  <c:v>99.657544850477763</c:v>
                </c:pt>
                <c:pt idx="193">
                  <c:v>99.741146017178508</c:v>
                </c:pt>
                <c:pt idx="194">
                  <c:v>99.577659291185967</c:v>
                </c:pt>
              </c:numCache>
            </c:numRef>
          </c:val>
          <c:smooth val="0"/>
        </c:ser>
        <c:dLbls>
          <c:showLegendKey val="0"/>
          <c:showVal val="0"/>
          <c:showCatName val="0"/>
          <c:showSerName val="0"/>
          <c:showPercent val="0"/>
          <c:showBubbleSize val="0"/>
        </c:dLbls>
        <c:smooth val="0"/>
        <c:axId val="472649840"/>
        <c:axId val="472665520"/>
      </c:lineChart>
      <c:dateAx>
        <c:axId val="472649840"/>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2665520"/>
        <c:crosses val="autoZero"/>
        <c:auto val="1"/>
        <c:lblOffset val="100"/>
        <c:baseTimeUnit val="days"/>
        <c:majorUnit val="1"/>
        <c:majorTimeUnit val="months"/>
      </c:dateAx>
      <c:valAx>
        <c:axId val="472665520"/>
        <c:scaling>
          <c:orientation val="minMax"/>
          <c:min val="98"/>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264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9.1488447691526295E-2"/>
          <c:w val="0.76008327803796716"/>
          <c:h val="0.61406304847039828"/>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43377</c:v>
                </c:pt>
                <c:pt idx="1">
                  <c:v>43408</c:v>
                </c:pt>
                <c:pt idx="2">
                  <c:v>43438</c:v>
                </c:pt>
                <c:pt idx="3">
                  <c:v>43469</c:v>
                </c:pt>
                <c:pt idx="4">
                  <c:v>43500</c:v>
                </c:pt>
                <c:pt idx="5">
                  <c:v>43528</c:v>
                </c:pt>
                <c:pt idx="6">
                  <c:v>43559</c:v>
                </c:pt>
                <c:pt idx="7">
                  <c:v>43589</c:v>
                </c:pt>
                <c:pt idx="8">
                  <c:v>43626</c:v>
                </c:pt>
                <c:pt idx="9">
                  <c:v>43656</c:v>
                </c:pt>
                <c:pt idx="10">
                  <c:v>43687</c:v>
                </c:pt>
                <c:pt idx="11">
                  <c:v>43718</c:v>
                </c:pt>
              </c:numCache>
            </c:numRef>
          </c:cat>
          <c:val>
            <c:numRef>
              <c:f>'F2&amp;F3'!$B$4:$B$15</c:f>
              <c:numCache>
                <c:formatCode>#,##0</c:formatCode>
                <c:ptCount val="12"/>
                <c:pt idx="0">
                  <c:v>3161.1766666666663</c:v>
                </c:pt>
                <c:pt idx="1">
                  <c:v>2953.192</c:v>
                </c:pt>
                <c:pt idx="2">
                  <c:v>2524.1455000000001</c:v>
                </c:pt>
                <c:pt idx="3">
                  <c:v>2666.623043478</c:v>
                </c:pt>
                <c:pt idx="4">
                  <c:v>2532.7845000000002</c:v>
                </c:pt>
                <c:pt idx="5">
                  <c:v>4261.9505263159999</c:v>
                </c:pt>
                <c:pt idx="6">
                  <c:v>2940.411052631579</c:v>
                </c:pt>
                <c:pt idx="7">
                  <c:v>2644.164545454546</c:v>
                </c:pt>
                <c:pt idx="8">
                  <c:v>2471.4789473679998</c:v>
                </c:pt>
                <c:pt idx="9" formatCode="#,##0;\-#,##0;0">
                  <c:v>2097.7652173910001</c:v>
                </c:pt>
                <c:pt idx="10" formatCode="#,##0;\-#,##0;0">
                  <c:v>2540.2270000000003</c:v>
                </c:pt>
                <c:pt idx="11" formatCode="#,##0;\-#,##0;0">
                  <c:v>2773.1821052629998</c:v>
                </c:pt>
              </c:numCache>
            </c:numRef>
          </c:val>
        </c:ser>
        <c:dLbls>
          <c:showLegendKey val="0"/>
          <c:showVal val="0"/>
          <c:showCatName val="0"/>
          <c:showSerName val="0"/>
          <c:showPercent val="0"/>
          <c:showBubbleSize val="0"/>
        </c:dLbls>
        <c:gapWidth val="200"/>
        <c:overlap val="-100"/>
        <c:axId val="405349416"/>
        <c:axId val="405349808"/>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'F2&amp;F3'!$A$4:$A$15</c:f>
              <c:numCache>
                <c:formatCode>[$-409]mmm\-yy;@</c:formatCode>
                <c:ptCount val="12"/>
                <c:pt idx="0">
                  <c:v>43377</c:v>
                </c:pt>
                <c:pt idx="1">
                  <c:v>43408</c:v>
                </c:pt>
                <c:pt idx="2">
                  <c:v>43438</c:v>
                </c:pt>
                <c:pt idx="3">
                  <c:v>43469</c:v>
                </c:pt>
                <c:pt idx="4">
                  <c:v>43500</c:v>
                </c:pt>
                <c:pt idx="5">
                  <c:v>43528</c:v>
                </c:pt>
                <c:pt idx="6">
                  <c:v>43559</c:v>
                </c:pt>
                <c:pt idx="7">
                  <c:v>43589</c:v>
                </c:pt>
                <c:pt idx="8">
                  <c:v>43626</c:v>
                </c:pt>
                <c:pt idx="9">
                  <c:v>43656</c:v>
                </c:pt>
                <c:pt idx="10">
                  <c:v>43687</c:v>
                </c:pt>
                <c:pt idx="11">
                  <c:v>43718</c:v>
                </c:pt>
              </c:numCache>
            </c:numRef>
          </c:cat>
          <c:val>
            <c:numRef>
              <c:f>'F2&amp;F3'!$C$4:$C$15</c:f>
              <c:numCache>
                <c:formatCode>#,##0</c:formatCode>
                <c:ptCount val="12"/>
                <c:pt idx="0">
                  <c:v>34518.839999999997</c:v>
                </c:pt>
                <c:pt idx="1">
                  <c:v>35818</c:v>
                </c:pt>
                <c:pt idx="2">
                  <c:v>35868.705499999996</c:v>
                </c:pt>
                <c:pt idx="3">
                  <c:v>36053.99</c:v>
                </c:pt>
                <c:pt idx="4">
                  <c:v>36138</c:v>
                </c:pt>
                <c:pt idx="5">
                  <c:v>37634.956319999998</c:v>
                </c:pt>
                <c:pt idx="6">
                  <c:v>38902.331818181825</c:v>
                </c:pt>
                <c:pt idx="7">
                  <c:v>38574.6</c:v>
                </c:pt>
                <c:pt idx="8">
                  <c:v>39565.627999999997</c:v>
                </c:pt>
                <c:pt idx="9">
                  <c:v>38649.970869565215</c:v>
                </c:pt>
                <c:pt idx="10">
                  <c:v>37149.346500000007</c:v>
                </c:pt>
                <c:pt idx="11">
                  <c:v>37545.056842105259</c:v>
                </c:pt>
              </c:numCache>
            </c:numRef>
          </c:val>
          <c:smooth val="0"/>
        </c:ser>
        <c:dLbls>
          <c:showLegendKey val="0"/>
          <c:showVal val="0"/>
          <c:showCatName val="0"/>
          <c:showSerName val="0"/>
          <c:showPercent val="0"/>
          <c:showBubbleSize val="0"/>
        </c:dLbls>
        <c:marker val="1"/>
        <c:smooth val="0"/>
        <c:axId val="405358040"/>
        <c:axId val="405350200"/>
      </c:lineChart>
      <c:catAx>
        <c:axId val="405349416"/>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405349808"/>
        <c:crosses val="autoZero"/>
        <c:auto val="0"/>
        <c:lblAlgn val="ctr"/>
        <c:lblOffset val="100"/>
        <c:noMultiLvlLbl val="0"/>
      </c:catAx>
      <c:valAx>
        <c:axId val="405349808"/>
        <c:scaling>
          <c:orientation val="minMax"/>
          <c:min val="2000"/>
        </c:scaling>
        <c:delete val="0"/>
        <c:axPos val="l"/>
        <c:title>
          <c:tx>
            <c:rich>
              <a:bodyPr/>
              <a:lstStyle/>
              <a:p>
                <a:pPr>
                  <a:defRPr sz="800"/>
                </a:pPr>
                <a:r>
                  <a:rPr lang="en-US" sz="800"/>
                  <a:t>amount</a:t>
                </a:r>
                <a:r>
                  <a:rPr lang="en-US" sz="800" baseline="0"/>
                  <a:t> in rs crore</a:t>
                </a:r>
                <a:endParaRPr lang="en-US" sz="800"/>
              </a:p>
            </c:rich>
          </c:tx>
          <c:layout>
            <c:manualLayout>
              <c:xMode val="edge"/>
              <c:yMode val="edge"/>
              <c:x val="1.5914367839932237E-2"/>
              <c:y val="0.22243157347436995"/>
            </c:manualLayout>
          </c:layout>
          <c:overlay val="0"/>
        </c:title>
        <c:numFmt formatCode="#,##0" sourceLinked="1"/>
        <c:majorTickMark val="none"/>
        <c:minorTickMark val="none"/>
        <c:tickLblPos val="nextTo"/>
        <c:txPr>
          <a:bodyPr/>
          <a:lstStyle/>
          <a:p>
            <a:pPr>
              <a:defRPr lang="en-IN"/>
            </a:pPr>
            <a:endParaRPr lang="en-US"/>
          </a:p>
        </c:txPr>
        <c:crossAx val="405349416"/>
        <c:crosses val="autoZero"/>
        <c:crossBetween val="between"/>
        <c:majorUnit val="500"/>
      </c:valAx>
      <c:valAx>
        <c:axId val="405350200"/>
        <c:scaling>
          <c:orientation val="minMax"/>
          <c:max val="40000"/>
          <c:min val="34000"/>
        </c:scaling>
        <c:delete val="0"/>
        <c:axPos val="r"/>
        <c:numFmt formatCode="#,##0" sourceLinked="1"/>
        <c:majorTickMark val="none"/>
        <c:minorTickMark val="none"/>
        <c:tickLblPos val="nextTo"/>
        <c:txPr>
          <a:bodyPr/>
          <a:lstStyle/>
          <a:p>
            <a:pPr>
              <a:defRPr lang="en-IN"/>
            </a:pPr>
            <a:endParaRPr lang="en-US"/>
          </a:p>
        </c:txPr>
        <c:crossAx val="405358040"/>
        <c:crosses val="max"/>
        <c:crossBetween val="between"/>
        <c:majorUnit val="1000"/>
      </c:valAx>
      <c:catAx>
        <c:axId val="405358040"/>
        <c:scaling>
          <c:orientation val="minMax"/>
        </c:scaling>
        <c:delete val="1"/>
        <c:axPos val="b"/>
        <c:numFmt formatCode="[$-409]mmm\-yy;@" sourceLinked="1"/>
        <c:majorTickMark val="out"/>
        <c:minorTickMark val="none"/>
        <c:tickLblPos val="none"/>
        <c:crossAx val="405350200"/>
        <c:crosses val="autoZero"/>
        <c:auto val="0"/>
        <c:lblAlgn val="ctr"/>
        <c:lblOffset val="100"/>
        <c:noMultiLvlLbl val="1"/>
      </c:catAx>
    </c:plotArea>
    <c:legend>
      <c:legendPos val="b"/>
      <c:layout>
        <c:manualLayout>
          <c:xMode val="edge"/>
          <c:yMode val="edge"/>
          <c:x val="2.790189901720808E-3"/>
          <c:y val="0.89545254029024135"/>
          <c:w val="0.98361208104572051"/>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2239720034995"/>
          <c:y val="5.4726368159203981E-2"/>
          <c:w val="0.78614177073003921"/>
          <c:h val="0.61491177302177902"/>
        </c:manualLayout>
      </c:layout>
      <c:barChart>
        <c:barDir val="col"/>
        <c:grouping val="clustered"/>
        <c:varyColors val="0"/>
        <c:ser>
          <c:idx val="0"/>
          <c:order val="0"/>
          <c:tx>
            <c:strRef>
              <c:f>'F4&amp;5 '!$B$4</c:f>
              <c:strCache>
                <c:ptCount val="1"/>
                <c:pt idx="0">
                  <c:v>Return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'!$A$5:$A$18</c:f>
              <c:strCache>
                <c:ptCount val="14"/>
                <c:pt idx="0">
                  <c:v> BSE CD</c:v>
                </c:pt>
                <c:pt idx="1">
                  <c:v> BSE CG</c:v>
                </c:pt>
                <c:pt idx="2">
                  <c:v> BSE Metal </c:v>
                </c:pt>
                <c:pt idx="3">
                  <c:v> BSE Bankex</c:v>
                </c:pt>
                <c:pt idx="4">
                  <c:v> BSE FMCG</c:v>
                </c:pt>
                <c:pt idx="5">
                  <c:v> BSE Small Cap</c:v>
                </c:pt>
                <c:pt idx="6">
                  <c:v> BSE PSU</c:v>
                </c:pt>
                <c:pt idx="7">
                  <c:v> BSE 500</c:v>
                </c:pt>
                <c:pt idx="8">
                  <c:v> BSE 200</c:v>
                </c:pt>
                <c:pt idx="9">
                  <c:v> BSE 100</c:v>
                </c:pt>
                <c:pt idx="10">
                  <c:v> BSE Large Cap</c:v>
                </c:pt>
                <c:pt idx="11">
                  <c:v> BSE Power</c:v>
                </c:pt>
                <c:pt idx="12">
                  <c:v> BSE Teck</c:v>
                </c:pt>
                <c:pt idx="13">
                  <c:v> BSE Healthcare</c:v>
                </c:pt>
              </c:strCache>
            </c:strRef>
          </c:cat>
          <c:val>
            <c:numRef>
              <c:f>'F4&amp;5 '!$B$5:$B$18</c:f>
              <c:numCache>
                <c:formatCode>0.0</c:formatCode>
                <c:ptCount val="14"/>
                <c:pt idx="0">
                  <c:v>10.47</c:v>
                </c:pt>
                <c:pt idx="1">
                  <c:v>10.35</c:v>
                </c:pt>
                <c:pt idx="2">
                  <c:v>6.59</c:v>
                </c:pt>
                <c:pt idx="3">
                  <c:v>6.27</c:v>
                </c:pt>
                <c:pt idx="4">
                  <c:v>6.23</c:v>
                </c:pt>
                <c:pt idx="5">
                  <c:v>5.07</c:v>
                </c:pt>
                <c:pt idx="6">
                  <c:v>4.8899999999999997</c:v>
                </c:pt>
                <c:pt idx="7">
                  <c:v>4.05</c:v>
                </c:pt>
                <c:pt idx="8">
                  <c:v>4.0199999999999996</c:v>
                </c:pt>
                <c:pt idx="9">
                  <c:v>3.96</c:v>
                </c:pt>
                <c:pt idx="10">
                  <c:v>3.87</c:v>
                </c:pt>
                <c:pt idx="11">
                  <c:v>2.46</c:v>
                </c:pt>
                <c:pt idx="12">
                  <c:v>-2.5299999999999998</c:v>
                </c:pt>
                <c:pt idx="13">
                  <c:v>-2.97</c:v>
                </c:pt>
              </c:numCache>
            </c:numRef>
          </c:val>
        </c:ser>
        <c:dLbls>
          <c:showLegendKey val="0"/>
          <c:showVal val="0"/>
          <c:showCatName val="0"/>
          <c:showSerName val="0"/>
          <c:showPercent val="0"/>
          <c:showBubbleSize val="0"/>
        </c:dLbls>
        <c:gapWidth val="219"/>
        <c:axId val="405359216"/>
        <c:axId val="405356864"/>
      </c:barChart>
      <c:lineChart>
        <c:grouping val="standard"/>
        <c:varyColors val="0"/>
        <c:ser>
          <c:idx val="1"/>
          <c:order val="1"/>
          <c:tx>
            <c:strRef>
              <c:f>'F4&amp;5 '!$C$4</c:f>
              <c:strCache>
                <c:ptCount val="1"/>
                <c:pt idx="0">
                  <c:v>Volatility</c:v>
                </c:pt>
              </c:strCache>
            </c:strRef>
          </c:tx>
          <c:spPr>
            <a:ln w="28575" cap="rnd">
              <a:solidFill>
                <a:schemeClr val="accent2"/>
              </a:solidFill>
              <a:round/>
            </a:ln>
            <a:effectLst/>
          </c:spPr>
          <c:marker>
            <c:symbol val="none"/>
          </c:marker>
          <c:cat>
            <c:strRef>
              <c:f>'F4&amp;5 '!$A$5:$A$18</c:f>
              <c:strCache>
                <c:ptCount val="14"/>
                <c:pt idx="0">
                  <c:v> BSE CD</c:v>
                </c:pt>
                <c:pt idx="1">
                  <c:v> BSE CG</c:v>
                </c:pt>
                <c:pt idx="2">
                  <c:v> BSE Metal </c:v>
                </c:pt>
                <c:pt idx="3">
                  <c:v> BSE Bankex</c:v>
                </c:pt>
                <c:pt idx="4">
                  <c:v> BSE FMCG</c:v>
                </c:pt>
                <c:pt idx="5">
                  <c:v> BSE Small Cap</c:v>
                </c:pt>
                <c:pt idx="6">
                  <c:v> BSE PSU</c:v>
                </c:pt>
                <c:pt idx="7">
                  <c:v> BSE 500</c:v>
                </c:pt>
                <c:pt idx="8">
                  <c:v> BSE 200</c:v>
                </c:pt>
                <c:pt idx="9">
                  <c:v> BSE 100</c:v>
                </c:pt>
                <c:pt idx="10">
                  <c:v> BSE Large Cap</c:v>
                </c:pt>
                <c:pt idx="11">
                  <c:v> BSE Power</c:v>
                </c:pt>
                <c:pt idx="12">
                  <c:v> BSE Teck</c:v>
                </c:pt>
                <c:pt idx="13">
                  <c:v> BSE Healthcare</c:v>
                </c:pt>
              </c:strCache>
            </c:strRef>
          </c:cat>
          <c:val>
            <c:numRef>
              <c:f>'F4&amp;5 '!$C$5:$C$18</c:f>
              <c:numCache>
                <c:formatCode>0.0</c:formatCode>
                <c:ptCount val="14"/>
                <c:pt idx="0">
                  <c:v>2.13</c:v>
                </c:pt>
                <c:pt idx="1">
                  <c:v>2.61</c:v>
                </c:pt>
                <c:pt idx="2">
                  <c:v>2.4700000000000002</c:v>
                </c:pt>
                <c:pt idx="3">
                  <c:v>2.69</c:v>
                </c:pt>
                <c:pt idx="4">
                  <c:v>1.45</c:v>
                </c:pt>
                <c:pt idx="5">
                  <c:v>1.46</c:v>
                </c:pt>
                <c:pt idx="6">
                  <c:v>1.95</c:v>
                </c:pt>
                <c:pt idx="7">
                  <c:v>1.64</c:v>
                </c:pt>
                <c:pt idx="8">
                  <c:v>1.66</c:v>
                </c:pt>
                <c:pt idx="9">
                  <c:v>1.68</c:v>
                </c:pt>
                <c:pt idx="10">
                  <c:v>1.64</c:v>
                </c:pt>
                <c:pt idx="11">
                  <c:v>1.04</c:v>
                </c:pt>
                <c:pt idx="12">
                  <c:v>1.19</c:v>
                </c:pt>
                <c:pt idx="13">
                  <c:v>1.06</c:v>
                </c:pt>
              </c:numCache>
            </c:numRef>
          </c:val>
          <c:smooth val="0"/>
        </c:ser>
        <c:dLbls>
          <c:showLegendKey val="0"/>
          <c:showVal val="0"/>
          <c:showCatName val="0"/>
          <c:showSerName val="0"/>
          <c:showPercent val="0"/>
          <c:showBubbleSize val="0"/>
        </c:dLbls>
        <c:marker val="1"/>
        <c:smooth val="0"/>
        <c:axId val="405358432"/>
        <c:axId val="405357648"/>
      </c:lineChart>
      <c:catAx>
        <c:axId val="4053592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05356864"/>
        <c:crosses val="autoZero"/>
        <c:auto val="1"/>
        <c:lblAlgn val="ctr"/>
        <c:lblOffset val="100"/>
        <c:noMultiLvlLbl val="0"/>
      </c:catAx>
      <c:valAx>
        <c:axId val="40535686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r>
                  <a:rPr lang="en-US" sz="900" b="1" i="0" u="none" strike="noStrike" kern="1200" baseline="0">
                    <a:solidFill>
                      <a:sysClr val="windowText" lastClr="000000">
                        <a:lumMod val="65000"/>
                        <a:lumOff val="35000"/>
                      </a:sysClr>
                    </a:solidFill>
                    <a:latin typeface="Garamond" panose="02020404030301010803" pitchFamily="18" charset="0"/>
                    <a:ea typeface="+mn-ea"/>
                    <a:cs typeface="+mn-cs"/>
                  </a:rPr>
                  <a:t>per cent</a:t>
                </a:r>
                <a:r>
                  <a:rPr lang="en-US"/>
                  <a:t>)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05359216"/>
        <c:crosses val="autoZero"/>
        <c:crossBetween val="between"/>
      </c:valAx>
      <c:valAx>
        <c:axId val="405357648"/>
        <c:scaling>
          <c:orientation val="minMax"/>
          <c:min val="0.30000000000000004"/>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Volatility (</a:t>
                </a:r>
                <a:r>
                  <a:rPr lang="en-US" sz="900" b="1" i="0" u="none" strike="noStrike" kern="1200" baseline="0">
                    <a:solidFill>
                      <a:sysClr val="windowText" lastClr="000000">
                        <a:lumMod val="65000"/>
                        <a:lumOff val="35000"/>
                      </a:sysClr>
                    </a:solidFill>
                    <a:latin typeface="Garamond" panose="02020404030301010803" pitchFamily="18" charset="0"/>
                    <a:ea typeface="+mn-ea"/>
                    <a:cs typeface="+mn-cs"/>
                  </a:rPr>
                  <a:t>per cent</a:t>
                </a:r>
                <a:r>
                  <a:rPr lang="en-US"/>
                  <a:t>)</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05358432"/>
        <c:crosses val="max"/>
        <c:crossBetween val="between"/>
      </c:valAx>
      <c:catAx>
        <c:axId val="405358432"/>
        <c:scaling>
          <c:orientation val="minMax"/>
        </c:scaling>
        <c:delete val="1"/>
        <c:axPos val="b"/>
        <c:numFmt formatCode="General" sourceLinked="1"/>
        <c:majorTickMark val="out"/>
        <c:minorTickMark val="none"/>
        <c:tickLblPos val="nextTo"/>
        <c:crossAx val="405357648"/>
        <c:crosses val="autoZero"/>
        <c:auto val="1"/>
        <c:lblAlgn val="ctr"/>
        <c:lblOffset val="100"/>
        <c:noMultiLvlLbl val="0"/>
      </c:catAx>
      <c:spPr>
        <a:noFill/>
        <a:ln>
          <a:noFill/>
        </a:ln>
        <a:effectLst/>
      </c:spPr>
    </c:plotArea>
    <c:legend>
      <c:legendPos val="b"/>
      <c:layout>
        <c:manualLayout>
          <c:xMode val="edge"/>
          <c:yMode val="edge"/>
          <c:x val="0.35777354934809497"/>
          <c:y val="0.92661523798651602"/>
          <c:w val="0.44351205543007188"/>
          <c:h val="5.606125099057677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Garamond" panose="020204040303010108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67967591007646"/>
          <c:y val="4.7717648151854843E-2"/>
          <c:w val="0.79673627753052612"/>
          <c:h val="0.62578911737038523"/>
        </c:manualLayout>
      </c:layout>
      <c:barChart>
        <c:barDir val="col"/>
        <c:grouping val="clustered"/>
        <c:varyColors val="0"/>
        <c:ser>
          <c:idx val="0"/>
          <c:order val="0"/>
          <c:tx>
            <c:strRef>
              <c:f>'F4&amp;5 '!$E$4</c:f>
              <c:strCache>
                <c:ptCount val="1"/>
                <c:pt idx="0">
                  <c:v>Return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'!$D$5:$D$19</c:f>
              <c:strCache>
                <c:ptCount val="14"/>
                <c:pt idx="0">
                  <c:v>Nifty MNC</c:v>
                </c:pt>
                <c:pt idx="1">
                  <c:v>Nifty FMCG</c:v>
                </c:pt>
                <c:pt idx="2">
                  <c:v>Nifty Bank</c:v>
                </c:pt>
                <c:pt idx="3">
                  <c:v>Nifty Next 50</c:v>
                </c:pt>
                <c:pt idx="4">
                  <c:v>Nifty 100</c:v>
                </c:pt>
                <c:pt idx="5">
                  <c:v>Nifty 500</c:v>
                </c:pt>
                <c:pt idx="6">
                  <c:v>Nifty 200</c:v>
                </c:pt>
                <c:pt idx="7">
                  <c:v>Nifty Midcap 50</c:v>
                </c:pt>
                <c:pt idx="8">
                  <c:v>Nifty Small 100</c:v>
                </c:pt>
                <c:pt idx="9">
                  <c:v>Nifty Midcap 100</c:v>
                </c:pt>
                <c:pt idx="10">
                  <c:v> Nifty IT</c:v>
                </c:pt>
                <c:pt idx="11">
                  <c:v>Nifty Media</c:v>
                </c:pt>
                <c:pt idx="12">
                  <c:v>Nifty Pharma</c:v>
                </c:pt>
                <c:pt idx="13">
                  <c:v>Nifty PSU Bank</c:v>
                </c:pt>
              </c:strCache>
            </c:strRef>
          </c:cat>
          <c:val>
            <c:numRef>
              <c:f>'F4&amp;5 '!$E$5:$E$19</c:f>
              <c:numCache>
                <c:formatCode>0.0</c:formatCode>
                <c:ptCount val="15"/>
                <c:pt idx="0">
                  <c:v>8.98</c:v>
                </c:pt>
                <c:pt idx="1">
                  <c:v>6.42</c:v>
                </c:pt>
                <c:pt idx="2">
                  <c:v>6.11</c:v>
                </c:pt>
                <c:pt idx="3">
                  <c:v>4.22</c:v>
                </c:pt>
                <c:pt idx="4">
                  <c:v>4.1100000000000003</c:v>
                </c:pt>
                <c:pt idx="5">
                  <c:v>4.05</c:v>
                </c:pt>
                <c:pt idx="6">
                  <c:v>3.92</c:v>
                </c:pt>
                <c:pt idx="7">
                  <c:v>3.11</c:v>
                </c:pt>
                <c:pt idx="8">
                  <c:v>2.71</c:v>
                </c:pt>
                <c:pt idx="9">
                  <c:v>2.39</c:v>
                </c:pt>
                <c:pt idx="10">
                  <c:v>-2.94</c:v>
                </c:pt>
                <c:pt idx="11">
                  <c:v>-5.99</c:v>
                </c:pt>
                <c:pt idx="12">
                  <c:v>-6.5</c:v>
                </c:pt>
                <c:pt idx="13">
                  <c:v>-7.29</c:v>
                </c:pt>
              </c:numCache>
            </c:numRef>
          </c:val>
        </c:ser>
        <c:dLbls>
          <c:showLegendKey val="0"/>
          <c:showVal val="0"/>
          <c:showCatName val="0"/>
          <c:showSerName val="0"/>
          <c:showPercent val="0"/>
          <c:showBubbleSize val="0"/>
        </c:dLbls>
        <c:gapWidth val="219"/>
        <c:axId val="403499728"/>
        <c:axId val="279346936"/>
      </c:barChart>
      <c:lineChart>
        <c:grouping val="standard"/>
        <c:varyColors val="0"/>
        <c:ser>
          <c:idx val="1"/>
          <c:order val="1"/>
          <c:tx>
            <c:strRef>
              <c:f>'F4&amp;5 '!$F$4</c:f>
              <c:strCache>
                <c:ptCount val="1"/>
                <c:pt idx="0">
                  <c:v>Volatility</c:v>
                </c:pt>
              </c:strCache>
            </c:strRef>
          </c:tx>
          <c:spPr>
            <a:ln w="28575" cap="rnd">
              <a:solidFill>
                <a:schemeClr val="accent2"/>
              </a:solidFill>
              <a:round/>
            </a:ln>
            <a:effectLst/>
          </c:spPr>
          <c:marker>
            <c:symbol val="none"/>
          </c:marker>
          <c:cat>
            <c:strRef>
              <c:f>'F4&amp;5 '!$D$5:$D$18</c:f>
              <c:strCache>
                <c:ptCount val="14"/>
                <c:pt idx="0">
                  <c:v>Nifty MNC</c:v>
                </c:pt>
                <c:pt idx="1">
                  <c:v>Nifty FMCG</c:v>
                </c:pt>
                <c:pt idx="2">
                  <c:v>Nifty Bank</c:v>
                </c:pt>
                <c:pt idx="3">
                  <c:v>Nifty Next 50</c:v>
                </c:pt>
                <c:pt idx="4">
                  <c:v>Nifty 100</c:v>
                </c:pt>
                <c:pt idx="5">
                  <c:v>Nifty 500</c:v>
                </c:pt>
                <c:pt idx="6">
                  <c:v>Nifty 200</c:v>
                </c:pt>
                <c:pt idx="7">
                  <c:v>Nifty Midcap 50</c:v>
                </c:pt>
                <c:pt idx="8">
                  <c:v>Nifty Small 100</c:v>
                </c:pt>
                <c:pt idx="9">
                  <c:v>Nifty Midcap 100</c:v>
                </c:pt>
                <c:pt idx="10">
                  <c:v> Nifty IT</c:v>
                </c:pt>
                <c:pt idx="11">
                  <c:v>Nifty Media</c:v>
                </c:pt>
                <c:pt idx="12">
                  <c:v>Nifty Pharma</c:v>
                </c:pt>
                <c:pt idx="13">
                  <c:v>Nifty PSU Bank</c:v>
                </c:pt>
              </c:strCache>
            </c:strRef>
          </c:cat>
          <c:val>
            <c:numRef>
              <c:f>'F4&amp;5 '!$F$5:$F$18</c:f>
              <c:numCache>
                <c:formatCode>0.0</c:formatCode>
                <c:ptCount val="14"/>
                <c:pt idx="0">
                  <c:v>2.12</c:v>
                </c:pt>
                <c:pt idx="1">
                  <c:v>1.51</c:v>
                </c:pt>
                <c:pt idx="2">
                  <c:v>2.65</c:v>
                </c:pt>
                <c:pt idx="3">
                  <c:v>1.65</c:v>
                </c:pt>
                <c:pt idx="4">
                  <c:v>1.64</c:v>
                </c:pt>
                <c:pt idx="5">
                  <c:v>1.63</c:v>
                </c:pt>
                <c:pt idx="6">
                  <c:v>1.66</c:v>
                </c:pt>
                <c:pt idx="7">
                  <c:v>2.02</c:v>
                </c:pt>
                <c:pt idx="8">
                  <c:v>1.63</c:v>
                </c:pt>
                <c:pt idx="9">
                  <c:v>1.83</c:v>
                </c:pt>
                <c:pt idx="10">
                  <c:v>1.1200000000000001</c:v>
                </c:pt>
                <c:pt idx="11">
                  <c:v>1.91</c:v>
                </c:pt>
                <c:pt idx="12">
                  <c:v>1.2</c:v>
                </c:pt>
                <c:pt idx="13">
                  <c:v>2.99</c:v>
                </c:pt>
              </c:numCache>
            </c:numRef>
          </c:val>
          <c:smooth val="0"/>
        </c:ser>
        <c:dLbls>
          <c:showLegendKey val="0"/>
          <c:showVal val="0"/>
          <c:showCatName val="0"/>
          <c:showSerName val="0"/>
          <c:showPercent val="0"/>
          <c:showBubbleSize val="0"/>
        </c:dLbls>
        <c:marker val="1"/>
        <c:smooth val="0"/>
        <c:axId val="472603840"/>
        <c:axId val="472596000"/>
      </c:lineChart>
      <c:catAx>
        <c:axId val="40349972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79346936"/>
        <c:crosses val="autoZero"/>
        <c:auto val="1"/>
        <c:lblAlgn val="ctr"/>
        <c:lblOffset val="100"/>
        <c:noMultiLvlLbl val="0"/>
      </c:catAx>
      <c:valAx>
        <c:axId val="279346936"/>
        <c:scaling>
          <c:orientation val="minMax"/>
        </c:scaling>
        <c:delete val="0"/>
        <c:axPos val="l"/>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r>
                  <a:rPr lang="en-US" sz="900" b="1" i="1" u="none" strike="noStrike" kern="1200" baseline="0">
                    <a:solidFill>
                      <a:sysClr val="windowText" lastClr="000000">
                        <a:lumMod val="65000"/>
                        <a:lumOff val="35000"/>
                      </a:sysClr>
                    </a:solidFill>
                    <a:latin typeface="Garamond" panose="02020404030301010803" pitchFamily="18" charset="0"/>
                    <a:ea typeface="+mn-ea"/>
                    <a:cs typeface="+mn-cs"/>
                  </a:rPr>
                  <a:t>per cent</a:t>
                </a:r>
                <a:r>
                  <a:rPr lang="en-US"/>
                  <a:t>)</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03499728"/>
        <c:crosses val="autoZero"/>
        <c:crossBetween val="between"/>
      </c:valAx>
      <c:valAx>
        <c:axId val="472596000"/>
        <c:scaling>
          <c:orientation val="minMax"/>
          <c:min val="0.30000000000000004"/>
        </c:scaling>
        <c:delete val="0"/>
        <c:axPos val="r"/>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72603840"/>
        <c:crosses val="max"/>
        <c:crossBetween val="between"/>
      </c:valAx>
      <c:catAx>
        <c:axId val="472603840"/>
        <c:scaling>
          <c:orientation val="minMax"/>
        </c:scaling>
        <c:delete val="1"/>
        <c:axPos val="b"/>
        <c:numFmt formatCode="General" sourceLinked="1"/>
        <c:majorTickMark val="out"/>
        <c:minorTickMark val="none"/>
        <c:tickLblPos val="nextTo"/>
        <c:crossAx val="472596000"/>
        <c:crosses val="autoZero"/>
        <c:auto val="1"/>
        <c:lblAlgn val="ctr"/>
        <c:lblOffset val="100"/>
        <c:noMultiLvlLbl val="0"/>
      </c:catAx>
      <c:spPr>
        <a:noFill/>
        <a:ln w="25400">
          <a:noFill/>
        </a:ln>
        <a:effectLst/>
      </c:spPr>
    </c:plotArea>
    <c:legend>
      <c:legendPos val="b"/>
      <c:layout>
        <c:manualLayout>
          <c:xMode val="edge"/>
          <c:yMode val="edge"/>
          <c:x val="0.33200880828044604"/>
          <c:y val="0.90591875400747135"/>
          <c:w val="0.32390682414698163"/>
          <c:h val="9.036847666768931E-2"/>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i="1">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76864037486117"/>
          <c:y val="5.102370069157422E-2"/>
          <c:w val="0.75582880865851676"/>
          <c:h val="0.61986909941257029"/>
        </c:manualLayout>
      </c:layout>
      <c:barChart>
        <c:barDir val="col"/>
        <c:grouping val="clustered"/>
        <c:varyColors val="0"/>
        <c:ser>
          <c:idx val="0"/>
          <c:order val="0"/>
          <c:tx>
            <c:strRef>
              <c:f>'F4 '!$B$1</c:f>
              <c:strCache>
                <c:ptCount val="1"/>
                <c:pt idx="0">
                  <c:v>Average Daily Turnover (LHS)</c:v>
                </c:pt>
              </c:strCache>
            </c:strRef>
          </c:tx>
          <c:spPr>
            <a:solidFill>
              <a:srgbClr val="8064A2">
                <a:lumMod val="60000"/>
                <a:lumOff val="40000"/>
              </a:srgbClr>
            </a:solidFill>
          </c:spPr>
          <c:invertIfNegative val="0"/>
          <c:cat>
            <c:numRef>
              <c:f>'F4 '!$A$2:$A$13</c:f>
              <c:numCache>
                <c:formatCode>[$-409]mmm\-yy;@</c:formatCode>
                <c:ptCount val="12"/>
                <c:pt idx="0">
                  <c:v>43374</c:v>
                </c:pt>
                <c:pt idx="1">
                  <c:v>43405</c:v>
                </c:pt>
                <c:pt idx="2">
                  <c:v>43435</c:v>
                </c:pt>
                <c:pt idx="3">
                  <c:v>43466</c:v>
                </c:pt>
                <c:pt idx="4">
                  <c:v>43497</c:v>
                </c:pt>
                <c:pt idx="5">
                  <c:v>43525</c:v>
                </c:pt>
                <c:pt idx="6">
                  <c:v>43556</c:v>
                </c:pt>
                <c:pt idx="7">
                  <c:v>43586</c:v>
                </c:pt>
                <c:pt idx="8">
                  <c:v>43626</c:v>
                </c:pt>
                <c:pt idx="9">
                  <c:v>43656</c:v>
                </c:pt>
                <c:pt idx="10">
                  <c:v>43687</c:v>
                </c:pt>
                <c:pt idx="11">
                  <c:v>43718</c:v>
                </c:pt>
              </c:numCache>
            </c:numRef>
          </c:cat>
          <c:val>
            <c:numRef>
              <c:f>'F4 '!$B$2:$B$13</c:f>
              <c:numCache>
                <c:formatCode>[&gt;=10000000]#\,##\,##\,##0;[&gt;=100000]#\,##\,##0;##,##0</c:formatCode>
                <c:ptCount val="12"/>
                <c:pt idx="0">
                  <c:v>1068250.9523809524</c:v>
                </c:pt>
                <c:pt idx="1">
                  <c:v>920726.9</c:v>
                </c:pt>
                <c:pt idx="2">
                  <c:v>959188.14303402882</c:v>
                </c:pt>
                <c:pt idx="3">
                  <c:v>960210.23575282516</c:v>
                </c:pt>
                <c:pt idx="4">
                  <c:v>947811.2300000001</c:v>
                </c:pt>
                <c:pt idx="5">
                  <c:v>1147016.1494736841</c:v>
                </c:pt>
                <c:pt idx="6">
                  <c:v>1187120.3410526316</c:v>
                </c:pt>
                <c:pt idx="7">
                  <c:v>1161202.5747799727</c:v>
                </c:pt>
                <c:pt idx="8">
                  <c:v>1313970.4463157896</c:v>
                </c:pt>
                <c:pt idx="9">
                  <c:v>1240846.1726086957</c:v>
                </c:pt>
                <c:pt idx="10">
                  <c:v>1523888.9360414748</c:v>
                </c:pt>
                <c:pt idx="11">
                  <c:v>1522069.2642105264</c:v>
                </c:pt>
              </c:numCache>
            </c:numRef>
          </c:val>
        </c:ser>
        <c:dLbls>
          <c:showLegendKey val="0"/>
          <c:showVal val="0"/>
          <c:showCatName val="0"/>
          <c:showSerName val="0"/>
          <c:showPercent val="0"/>
          <c:showBubbleSize val="0"/>
        </c:dLbls>
        <c:gapWidth val="351"/>
        <c:overlap val="78"/>
        <c:axId val="472597960"/>
        <c:axId val="472598352"/>
      </c:barChart>
      <c:lineChart>
        <c:grouping val="standard"/>
        <c:varyColors val="0"/>
        <c:ser>
          <c:idx val="1"/>
          <c:order val="1"/>
          <c:tx>
            <c:strRef>
              <c:f>'F4 '!$C$1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 '!$A$2:$A$13</c:f>
              <c:numCache>
                <c:formatCode>[$-409]mmm\-yy;@</c:formatCode>
                <c:ptCount val="12"/>
                <c:pt idx="0">
                  <c:v>43374</c:v>
                </c:pt>
                <c:pt idx="1">
                  <c:v>43405</c:v>
                </c:pt>
                <c:pt idx="2">
                  <c:v>43435</c:v>
                </c:pt>
                <c:pt idx="3">
                  <c:v>43466</c:v>
                </c:pt>
                <c:pt idx="4">
                  <c:v>43497</c:v>
                </c:pt>
                <c:pt idx="5">
                  <c:v>43525</c:v>
                </c:pt>
                <c:pt idx="6">
                  <c:v>43556</c:v>
                </c:pt>
                <c:pt idx="7">
                  <c:v>43586</c:v>
                </c:pt>
                <c:pt idx="8">
                  <c:v>43626</c:v>
                </c:pt>
                <c:pt idx="9">
                  <c:v>43656</c:v>
                </c:pt>
                <c:pt idx="10">
                  <c:v>43687</c:v>
                </c:pt>
                <c:pt idx="11">
                  <c:v>43718</c:v>
                </c:pt>
              </c:numCache>
            </c:numRef>
          </c:cat>
          <c:val>
            <c:numRef>
              <c:f>'F4 '!$C$2:$C$13</c:f>
              <c:numCache>
                <c:formatCode>[&gt;=10000000]#\,##\,##\,##0;[&gt;=100000]#\,##\,##0;##,##0</c:formatCode>
                <c:ptCount val="12"/>
                <c:pt idx="0">
                  <c:v>22433270</c:v>
                </c:pt>
                <c:pt idx="1">
                  <c:v>18414538</c:v>
                </c:pt>
                <c:pt idx="2">
                  <c:v>19183762.860680576</c:v>
                </c:pt>
                <c:pt idx="3">
                  <c:v>22084835.422314979</c:v>
                </c:pt>
                <c:pt idx="4">
                  <c:v>18956224.600000001</c:v>
                </c:pt>
                <c:pt idx="5">
                  <c:v>21793306.84</c:v>
                </c:pt>
                <c:pt idx="6">
                  <c:v>22555286.48</c:v>
                </c:pt>
                <c:pt idx="7">
                  <c:v>25546456.645159401</c:v>
                </c:pt>
                <c:pt idx="8">
                  <c:v>24965438.48</c:v>
                </c:pt>
                <c:pt idx="9">
                  <c:v>28539461.969999999</c:v>
                </c:pt>
                <c:pt idx="10">
                  <c:v>30477778.720829494</c:v>
                </c:pt>
                <c:pt idx="11">
                  <c:v>28919316.02</c:v>
                </c:pt>
              </c:numCache>
            </c:numRef>
          </c:val>
          <c:smooth val="0"/>
        </c:ser>
        <c:dLbls>
          <c:showLegendKey val="0"/>
          <c:showVal val="0"/>
          <c:showCatName val="0"/>
          <c:showSerName val="0"/>
          <c:showPercent val="0"/>
          <c:showBubbleSize val="0"/>
        </c:dLbls>
        <c:marker val="1"/>
        <c:smooth val="0"/>
        <c:axId val="472599528"/>
        <c:axId val="472595608"/>
      </c:lineChart>
      <c:dateAx>
        <c:axId val="472597960"/>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72598352"/>
        <c:crosses val="autoZero"/>
        <c:auto val="1"/>
        <c:lblOffset val="100"/>
        <c:baseTimeUnit val="months"/>
      </c:dateAx>
      <c:valAx>
        <c:axId val="472598352"/>
        <c:scaling>
          <c:orientation val="minMax"/>
          <c:min val="800000"/>
        </c:scaling>
        <c:delete val="0"/>
        <c:axPos val="l"/>
        <c:numFmt formatCode="[&gt;=10000000]#\,##\,##\,##0;[&gt;=100000]#\,##\,##0;##,##0" sourceLinked="1"/>
        <c:majorTickMark val="none"/>
        <c:minorTickMark val="none"/>
        <c:tickLblPos val="nextTo"/>
        <c:txPr>
          <a:bodyPr/>
          <a:lstStyle/>
          <a:p>
            <a:pPr>
              <a:defRPr lang="en-IN"/>
            </a:pPr>
            <a:endParaRPr lang="en-US"/>
          </a:p>
        </c:txPr>
        <c:crossAx val="472597960"/>
        <c:crosses val="autoZero"/>
        <c:crossBetween val="between"/>
        <c:dispUnits>
          <c:builtInUnit val="hundredThousands"/>
          <c:dispUnitsLbl>
            <c:layout>
              <c:manualLayout>
                <c:xMode val="edge"/>
                <c:yMode val="edge"/>
                <c:x val="1.8260248629701267E-2"/>
                <c:y val="0.13483440876933842"/>
              </c:manualLayout>
            </c:layout>
            <c:tx>
              <c:rich>
                <a:bodyPr/>
                <a:lstStyle/>
                <a:p>
                  <a:pPr>
                    <a:defRPr/>
                  </a:pPr>
                  <a:r>
                    <a:rPr lang="en-US"/>
                    <a:t>Amt</a:t>
                  </a:r>
                  <a:r>
                    <a:rPr lang="en-US" baseline="0"/>
                    <a:t> </a:t>
                  </a:r>
                  <a:r>
                    <a:rPr lang="en-US"/>
                    <a:t>in</a:t>
                  </a:r>
                  <a:r>
                    <a:rPr lang="en-US" baseline="0"/>
                    <a:t> Rs Lakh Crore</a:t>
                  </a:r>
                  <a:endParaRPr lang="en-US"/>
                </a:p>
              </c:rich>
            </c:tx>
          </c:dispUnitsLbl>
        </c:dispUnits>
      </c:valAx>
      <c:valAx>
        <c:axId val="472595608"/>
        <c:scaling>
          <c:orientation val="minMax"/>
          <c:min val="1000000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472599528"/>
        <c:crosses val="max"/>
        <c:crossBetween val="between"/>
        <c:majorUnit val="4000000"/>
        <c:dispUnits>
          <c:builtInUnit val="hundredThousands"/>
          <c:dispUnitsLbl>
            <c:layout>
              <c:manualLayout>
                <c:xMode val="edge"/>
                <c:yMode val="edge"/>
                <c:x val="0.92899470121988037"/>
                <c:y val="0.14325895835372343"/>
              </c:manualLayout>
            </c:layout>
            <c:tx>
              <c:rich>
                <a:bodyPr/>
                <a:lstStyle/>
                <a:p>
                  <a:pPr>
                    <a:defRPr/>
                  </a:pPr>
                  <a:r>
                    <a:rPr lang="en-US" sz="900" b="1" i="0" baseline="0">
                      <a:effectLst/>
                    </a:rPr>
                    <a:t>Amt in Rs Lakh Crore</a:t>
                  </a:r>
                  <a:endParaRPr lang="en-US" sz="200">
                    <a:effectLst/>
                  </a:endParaRPr>
                </a:p>
              </c:rich>
            </c:tx>
          </c:dispUnitsLbl>
        </c:dispUnits>
      </c:valAx>
      <c:dateAx>
        <c:axId val="472599528"/>
        <c:scaling>
          <c:orientation val="minMax"/>
        </c:scaling>
        <c:delete val="1"/>
        <c:axPos val="b"/>
        <c:numFmt formatCode="[$-409]mmm\-yy;@" sourceLinked="1"/>
        <c:majorTickMark val="out"/>
        <c:minorTickMark val="none"/>
        <c:tickLblPos val="none"/>
        <c:crossAx val="472595608"/>
        <c:crosses val="autoZero"/>
        <c:auto val="1"/>
        <c:lblOffset val="100"/>
        <c:baseTimeUnit val="month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6025237787861719"/>
          <c:h val="0.68525841589683523"/>
        </c:manualLayout>
      </c:layout>
      <c:lineChart>
        <c:grouping val="standard"/>
        <c:varyColors val="0"/>
        <c:ser>
          <c:idx val="0"/>
          <c:order val="0"/>
          <c:tx>
            <c:strRef>
              <c:f>'F6'!$B$2</c:f>
              <c:strCache>
                <c:ptCount val="1"/>
                <c:pt idx="0">
                  <c:v>NSE (LHS)</c:v>
                </c:pt>
              </c:strCache>
            </c:strRef>
          </c:tx>
          <c:spPr>
            <a:ln w="22225">
              <a:solidFill>
                <a:srgbClr val="C45CB8"/>
              </a:solidFill>
            </a:ln>
            <a:effectLst/>
          </c:spPr>
          <c:marker>
            <c:symbol val="none"/>
          </c:marker>
          <c:cat>
            <c:numRef>
              <c:f>'F6'!$A$3:$A$14</c:f>
              <c:numCache>
                <c:formatCode>[$-409]mmm\-yy;@</c:formatCode>
                <c:ptCount val="12"/>
                <c:pt idx="0">
                  <c:v>43374</c:v>
                </c:pt>
                <c:pt idx="1">
                  <c:v>43405</c:v>
                </c:pt>
                <c:pt idx="2">
                  <c:v>43435</c:v>
                </c:pt>
                <c:pt idx="3">
                  <c:v>43466</c:v>
                </c:pt>
                <c:pt idx="4">
                  <c:v>43497</c:v>
                </c:pt>
                <c:pt idx="5">
                  <c:v>43525</c:v>
                </c:pt>
                <c:pt idx="6">
                  <c:v>43556</c:v>
                </c:pt>
                <c:pt idx="7">
                  <c:v>43586</c:v>
                </c:pt>
                <c:pt idx="8">
                  <c:v>43626</c:v>
                </c:pt>
                <c:pt idx="9">
                  <c:v>43656</c:v>
                </c:pt>
                <c:pt idx="10">
                  <c:v>43687</c:v>
                </c:pt>
                <c:pt idx="11">
                  <c:v>43718</c:v>
                </c:pt>
              </c:numCache>
            </c:numRef>
          </c:cat>
          <c:val>
            <c:numRef>
              <c:f>'F6'!$B$3:$B$14</c:f>
              <c:numCache>
                <c:formatCode>[&gt;=10000000]#\,##\,##\,##0;[&gt;=100000]#\,##\,##0;##,##0</c:formatCode>
                <c:ptCount val="12"/>
                <c:pt idx="0">
                  <c:v>777528.51319401199</c:v>
                </c:pt>
                <c:pt idx="1">
                  <c:v>681660.28855165804</c:v>
                </c:pt>
                <c:pt idx="2">
                  <c:v>741803.95882429404</c:v>
                </c:pt>
                <c:pt idx="3">
                  <c:v>749482.59087492898</c:v>
                </c:pt>
                <c:pt idx="4">
                  <c:v>680354.48930000002</c:v>
                </c:pt>
                <c:pt idx="5">
                  <c:v>815335.68949999998</c:v>
                </c:pt>
                <c:pt idx="6">
                  <c:v>711355.08459999994</c:v>
                </c:pt>
                <c:pt idx="7">
                  <c:v>683259.31414891197</c:v>
                </c:pt>
                <c:pt idx="8">
                  <c:v>591129.11010000005</c:v>
                </c:pt>
                <c:pt idx="9">
                  <c:v>636914.10789999994</c:v>
                </c:pt>
                <c:pt idx="10">
                  <c:v>1027024.8754041056</c:v>
                </c:pt>
                <c:pt idx="11" formatCode="0\,00\,000;\-0\,00\,000;0">
                  <c:v>879828.06579999998</c:v>
                </c:pt>
              </c:numCache>
            </c:numRef>
          </c:val>
          <c:smooth val="0"/>
        </c:ser>
        <c:ser>
          <c:idx val="3"/>
          <c:order val="2"/>
          <c:tx>
            <c:strRef>
              <c:f>'F6'!$D$2</c:f>
              <c:strCache>
                <c:ptCount val="1"/>
                <c:pt idx="0">
                  <c:v>BSE  (LHS)</c:v>
                </c:pt>
              </c:strCache>
            </c:strRef>
          </c:tx>
          <c:spPr>
            <a:ln>
              <a:solidFill>
                <a:schemeClr val="accent2">
                  <a:lumMod val="75000"/>
                </a:schemeClr>
              </a:solidFill>
            </a:ln>
          </c:spPr>
          <c:marker>
            <c:symbol val="none"/>
          </c:marker>
          <c:cat>
            <c:numRef>
              <c:f>'F6'!$A$3:$A$14</c:f>
              <c:numCache>
                <c:formatCode>[$-409]mmm\-yy;@</c:formatCode>
                <c:ptCount val="12"/>
                <c:pt idx="0">
                  <c:v>43374</c:v>
                </c:pt>
                <c:pt idx="1">
                  <c:v>43405</c:v>
                </c:pt>
                <c:pt idx="2">
                  <c:v>43435</c:v>
                </c:pt>
                <c:pt idx="3">
                  <c:v>43466</c:v>
                </c:pt>
                <c:pt idx="4">
                  <c:v>43497</c:v>
                </c:pt>
                <c:pt idx="5">
                  <c:v>43525</c:v>
                </c:pt>
                <c:pt idx="6">
                  <c:v>43556</c:v>
                </c:pt>
                <c:pt idx="7">
                  <c:v>43586</c:v>
                </c:pt>
                <c:pt idx="8">
                  <c:v>43626</c:v>
                </c:pt>
                <c:pt idx="9">
                  <c:v>43656</c:v>
                </c:pt>
                <c:pt idx="10">
                  <c:v>43687</c:v>
                </c:pt>
                <c:pt idx="11">
                  <c:v>43718</c:v>
                </c:pt>
              </c:numCache>
            </c:numRef>
          </c:cat>
          <c:val>
            <c:numRef>
              <c:f>'F6'!$D$3:$D$14</c:f>
              <c:numCache>
                <c:formatCode>[&gt;=10000000]#\,##\,##\,##0;[&gt;=100000]#\,##\,##0;##,##0</c:formatCode>
                <c:ptCount val="12"/>
                <c:pt idx="0">
                  <c:v>641295.16209999996</c:v>
                </c:pt>
                <c:pt idx="1">
                  <c:v>573746.2696</c:v>
                </c:pt>
                <c:pt idx="2">
                  <c:v>515673.06469999999</c:v>
                </c:pt>
                <c:pt idx="3">
                  <c:v>568203.1666</c:v>
                </c:pt>
                <c:pt idx="4">
                  <c:v>510834.71059999999</c:v>
                </c:pt>
                <c:pt idx="5">
                  <c:v>557019.7145</c:v>
                </c:pt>
                <c:pt idx="6">
                  <c:v>580692.28529999999</c:v>
                </c:pt>
                <c:pt idx="7">
                  <c:v>652341.12700000009</c:v>
                </c:pt>
                <c:pt idx="8">
                  <c:v>583042.79310000001</c:v>
                </c:pt>
                <c:pt idx="9">
                  <c:v>629035.57990000001</c:v>
                </c:pt>
                <c:pt idx="10">
                  <c:v>624310.70499999996</c:v>
                </c:pt>
                <c:pt idx="11" formatCode="0\,00\,000;\-0\,00\,000;0">
                  <c:v>584638.41029999999</c:v>
                </c:pt>
              </c:numCache>
            </c:numRef>
          </c:val>
          <c:smooth val="0"/>
        </c:ser>
        <c:dLbls>
          <c:showLegendKey val="0"/>
          <c:showVal val="0"/>
          <c:showCatName val="0"/>
          <c:showSerName val="0"/>
          <c:showPercent val="0"/>
          <c:showBubbleSize val="0"/>
        </c:dLbls>
        <c:marker val="1"/>
        <c:smooth val="0"/>
        <c:axId val="472599920"/>
        <c:axId val="472593648"/>
      </c:lineChart>
      <c:lineChart>
        <c:grouping val="standard"/>
        <c:varyColors val="0"/>
        <c:ser>
          <c:idx val="1"/>
          <c:order val="1"/>
          <c:tx>
            <c:strRef>
              <c:f>'F6'!$C$2</c:f>
              <c:strCache>
                <c:ptCount val="1"/>
                <c:pt idx="0">
                  <c:v>MSEI (RHS)</c:v>
                </c:pt>
              </c:strCache>
            </c:strRef>
          </c:tx>
          <c:spPr>
            <a:ln w="22225">
              <a:solidFill>
                <a:srgbClr val="00B0F0"/>
              </a:solidFill>
            </a:ln>
          </c:spPr>
          <c:marker>
            <c:symbol val="none"/>
          </c:marker>
          <c:cat>
            <c:numRef>
              <c:f>'F6'!$A$3:$A$14</c:f>
              <c:numCache>
                <c:formatCode>[$-409]mmm\-yy;@</c:formatCode>
                <c:ptCount val="12"/>
                <c:pt idx="0">
                  <c:v>43374</c:v>
                </c:pt>
                <c:pt idx="1">
                  <c:v>43405</c:v>
                </c:pt>
                <c:pt idx="2">
                  <c:v>43435</c:v>
                </c:pt>
                <c:pt idx="3">
                  <c:v>43466</c:v>
                </c:pt>
                <c:pt idx="4">
                  <c:v>43497</c:v>
                </c:pt>
                <c:pt idx="5">
                  <c:v>43525</c:v>
                </c:pt>
                <c:pt idx="6">
                  <c:v>43556</c:v>
                </c:pt>
                <c:pt idx="7">
                  <c:v>43586</c:v>
                </c:pt>
                <c:pt idx="8">
                  <c:v>43626</c:v>
                </c:pt>
                <c:pt idx="9">
                  <c:v>43656</c:v>
                </c:pt>
                <c:pt idx="10">
                  <c:v>43687</c:v>
                </c:pt>
                <c:pt idx="11">
                  <c:v>43718</c:v>
                </c:pt>
              </c:numCache>
            </c:numRef>
          </c:cat>
          <c:val>
            <c:numRef>
              <c:f>'F6'!$C$3:$C$14</c:f>
              <c:numCache>
                <c:formatCode>[&gt;=10000000]#\,##\,##\,##0;[&gt;=100000]#\,##\,##0;##,##0</c:formatCode>
                <c:ptCount val="12"/>
                <c:pt idx="0">
                  <c:v>2900.4</c:v>
                </c:pt>
                <c:pt idx="1">
                  <c:v>2050.7751377499999</c:v>
                </c:pt>
                <c:pt idx="2">
                  <c:v>1290.867150496</c:v>
                </c:pt>
                <c:pt idx="3">
                  <c:v>1556.8416970000001</c:v>
                </c:pt>
                <c:pt idx="4">
                  <c:v>1521.31375</c:v>
                </c:pt>
                <c:pt idx="5">
                  <c:v>2700.8014429999998</c:v>
                </c:pt>
                <c:pt idx="6">
                  <c:v>2780.3378809999999</c:v>
                </c:pt>
                <c:pt idx="7">
                  <c:v>1903.1365685000001</c:v>
                </c:pt>
                <c:pt idx="8">
                  <c:v>2031.7524612499999</c:v>
                </c:pt>
                <c:pt idx="9">
                  <c:v>2124.9313860000002</c:v>
                </c:pt>
                <c:pt idx="10">
                  <c:v>2369.2899999999995</c:v>
                </c:pt>
                <c:pt idx="11" formatCode="#,##0;\-#,##0;0">
                  <c:v>3328.8211272499998</c:v>
                </c:pt>
              </c:numCache>
            </c:numRef>
          </c:val>
          <c:smooth val="0"/>
        </c:ser>
        <c:dLbls>
          <c:showLegendKey val="0"/>
          <c:showVal val="0"/>
          <c:showCatName val="0"/>
          <c:showSerName val="0"/>
          <c:showPercent val="0"/>
          <c:showBubbleSize val="0"/>
        </c:dLbls>
        <c:marker val="1"/>
        <c:smooth val="0"/>
        <c:axId val="472600312"/>
        <c:axId val="472597176"/>
      </c:lineChart>
      <c:dateAx>
        <c:axId val="472599920"/>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72593648"/>
        <c:crosses val="autoZero"/>
        <c:auto val="1"/>
        <c:lblOffset val="100"/>
        <c:baseTimeUnit val="months"/>
      </c:dateAx>
      <c:valAx>
        <c:axId val="472593648"/>
        <c:scaling>
          <c:orientation val="minMax"/>
          <c:max val="1100000"/>
          <c:min val="500000"/>
        </c:scaling>
        <c:delete val="0"/>
        <c:axPos val="l"/>
        <c:numFmt formatCode="[&gt;=10000000]#\,##\,##\,##0;[&gt;=100000]#\,##\,##0;##,##0" sourceLinked="1"/>
        <c:majorTickMark val="none"/>
        <c:minorTickMark val="none"/>
        <c:tickLblPos val="nextTo"/>
        <c:txPr>
          <a:bodyPr/>
          <a:lstStyle/>
          <a:p>
            <a:pPr>
              <a:defRPr lang="en-IN"/>
            </a:pPr>
            <a:endParaRPr lang="en-US"/>
          </a:p>
        </c:txPr>
        <c:crossAx val="472599920"/>
        <c:crosses val="autoZero"/>
        <c:crossBetween val="between"/>
        <c:majorUnit val="100000"/>
      </c:valAx>
      <c:valAx>
        <c:axId val="472597176"/>
        <c:scaling>
          <c:orientation val="minMax"/>
          <c:max val="9000"/>
          <c:min val="1000"/>
        </c:scaling>
        <c:delete val="0"/>
        <c:axPos val="r"/>
        <c:numFmt formatCode="[&gt;=10000000]#\,##\,##\,##0;[&gt;=100000]#\,##\,##0;##,##0" sourceLinked="1"/>
        <c:majorTickMark val="out"/>
        <c:minorTickMark val="none"/>
        <c:tickLblPos val="nextTo"/>
        <c:crossAx val="472600312"/>
        <c:crosses val="max"/>
        <c:crossBetween val="between"/>
        <c:majorUnit val="2000"/>
      </c:valAx>
      <c:dateAx>
        <c:axId val="472600312"/>
        <c:scaling>
          <c:orientation val="minMax"/>
        </c:scaling>
        <c:delete val="1"/>
        <c:axPos val="b"/>
        <c:numFmt formatCode="[$-409]mmm\-yy;@" sourceLinked="1"/>
        <c:majorTickMark val="out"/>
        <c:minorTickMark val="none"/>
        <c:tickLblPos val="nextTo"/>
        <c:crossAx val="472597176"/>
        <c:crosses val="autoZero"/>
        <c:auto val="1"/>
        <c:lblOffset val="100"/>
        <c:baseTimeUnit val="months"/>
      </c:date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4895719203932"/>
          <c:y val="6.2098086529945175E-2"/>
          <c:w val="0.89717148992739548"/>
          <c:h val="0.67256788958586677"/>
        </c:manualLayout>
      </c:layout>
      <c:lineChart>
        <c:grouping val="standard"/>
        <c:varyColors val="0"/>
        <c:ser>
          <c:idx val="0"/>
          <c:order val="0"/>
          <c:tx>
            <c:strRef>
              <c:f>'F7'!$B$2</c:f>
              <c:strCache>
                <c:ptCount val="1"/>
                <c:pt idx="0">
                  <c:v>BSE</c:v>
                </c:pt>
              </c:strCache>
            </c:strRef>
          </c:tx>
          <c:spPr>
            <a:ln w="22225">
              <a:solidFill>
                <a:srgbClr val="FF0000"/>
              </a:solidFill>
            </a:ln>
          </c:spPr>
          <c:marker>
            <c:symbol val="none"/>
          </c:marker>
          <c:cat>
            <c:numRef>
              <c:f>'F7'!$A$6:$A$17</c:f>
              <c:numCache>
                <c:formatCode>[$-409]mmm\-yy;@</c:formatCode>
                <c:ptCount val="12"/>
                <c:pt idx="0">
                  <c:v>43374</c:v>
                </c:pt>
                <c:pt idx="1">
                  <c:v>43405</c:v>
                </c:pt>
                <c:pt idx="2">
                  <c:v>43435</c:v>
                </c:pt>
                <c:pt idx="3">
                  <c:v>43466</c:v>
                </c:pt>
                <c:pt idx="4">
                  <c:v>43497</c:v>
                </c:pt>
                <c:pt idx="5">
                  <c:v>43525</c:v>
                </c:pt>
                <c:pt idx="6">
                  <c:v>43556</c:v>
                </c:pt>
                <c:pt idx="7">
                  <c:v>43586</c:v>
                </c:pt>
                <c:pt idx="8">
                  <c:v>43626</c:v>
                </c:pt>
                <c:pt idx="9">
                  <c:v>43656</c:v>
                </c:pt>
                <c:pt idx="10">
                  <c:v>43687</c:v>
                </c:pt>
                <c:pt idx="11">
                  <c:v>43718</c:v>
                </c:pt>
              </c:numCache>
            </c:numRef>
          </c:cat>
          <c:val>
            <c:numRef>
              <c:f>'F7'!$B$6:$B$17</c:f>
              <c:numCache>
                <c:formatCode>[&gt;=10000000]#\,##\,##\,##0;[&gt;=100000]#\,##\,##0;##,##0</c:formatCode>
                <c:ptCount val="12"/>
                <c:pt idx="0">
                  <c:v>9223.2000000000007</c:v>
                </c:pt>
                <c:pt idx="1">
                  <c:v>6156.8182999999999</c:v>
                </c:pt>
                <c:pt idx="2">
                  <c:v>4245.4411</c:v>
                </c:pt>
                <c:pt idx="3">
                  <c:v>9129.2566000000006</c:v>
                </c:pt>
                <c:pt idx="4">
                  <c:v>15330.400299999999</c:v>
                </c:pt>
                <c:pt idx="5">
                  <c:v>14513.2541</c:v>
                </c:pt>
                <c:pt idx="6">
                  <c:v>4738.1117999999997</c:v>
                </c:pt>
                <c:pt idx="7">
                  <c:v>8498.0450999999994</c:v>
                </c:pt>
                <c:pt idx="8" formatCode="#,##0;\-#,##0;0">
                  <c:v>8394.59</c:v>
                </c:pt>
                <c:pt idx="9" formatCode="#,##0;\-#,##0;0">
                  <c:v>16198.302</c:v>
                </c:pt>
                <c:pt idx="10" formatCode="#,##0;\-#,##0;0">
                  <c:v>11924.276000000002</c:v>
                </c:pt>
                <c:pt idx="11" formatCode="#,##0;\-#,##0;0">
                  <c:v>11212.552299999999</c:v>
                </c:pt>
              </c:numCache>
            </c:numRef>
          </c:val>
          <c:smooth val="0"/>
        </c:ser>
        <c:ser>
          <c:idx val="1"/>
          <c:order val="1"/>
          <c:tx>
            <c:strRef>
              <c:f>'F7'!$C$2</c:f>
              <c:strCache>
                <c:ptCount val="1"/>
                <c:pt idx="0">
                  <c:v>NSE</c:v>
                </c:pt>
              </c:strCache>
            </c:strRef>
          </c:tx>
          <c:spPr>
            <a:ln w="22225">
              <a:solidFill>
                <a:srgbClr val="0070C0"/>
              </a:solidFill>
            </a:ln>
          </c:spPr>
          <c:marker>
            <c:symbol val="none"/>
          </c:marker>
          <c:cat>
            <c:numRef>
              <c:f>'F7'!$A$6:$A$17</c:f>
              <c:numCache>
                <c:formatCode>[$-409]mmm\-yy;@</c:formatCode>
                <c:ptCount val="12"/>
                <c:pt idx="0">
                  <c:v>43374</c:v>
                </c:pt>
                <c:pt idx="1">
                  <c:v>43405</c:v>
                </c:pt>
                <c:pt idx="2">
                  <c:v>43435</c:v>
                </c:pt>
                <c:pt idx="3">
                  <c:v>43466</c:v>
                </c:pt>
                <c:pt idx="4">
                  <c:v>43497</c:v>
                </c:pt>
                <c:pt idx="5">
                  <c:v>43525</c:v>
                </c:pt>
                <c:pt idx="6">
                  <c:v>43556</c:v>
                </c:pt>
                <c:pt idx="7">
                  <c:v>43586</c:v>
                </c:pt>
                <c:pt idx="8">
                  <c:v>43626</c:v>
                </c:pt>
                <c:pt idx="9">
                  <c:v>43656</c:v>
                </c:pt>
                <c:pt idx="10">
                  <c:v>43687</c:v>
                </c:pt>
                <c:pt idx="11">
                  <c:v>43718</c:v>
                </c:pt>
              </c:numCache>
            </c:numRef>
          </c:cat>
          <c:val>
            <c:numRef>
              <c:f>'F7'!$C$6:$C$17</c:f>
              <c:numCache>
                <c:formatCode>[&gt;=10000000]#\,##\,##\,##0;[&gt;=100000]#\,##\,##0;##,##0</c:formatCode>
                <c:ptCount val="12"/>
                <c:pt idx="0">
                  <c:v>22604.788316499998</c:v>
                </c:pt>
                <c:pt idx="1">
                  <c:v>20286.930477000002</c:v>
                </c:pt>
                <c:pt idx="2">
                  <c:v>39136.415907850002</c:v>
                </c:pt>
                <c:pt idx="3">
                  <c:v>28146.9453135</c:v>
                </c:pt>
                <c:pt idx="4">
                  <c:v>23339.417590000001</c:v>
                </c:pt>
                <c:pt idx="5">
                  <c:v>12428.78926</c:v>
                </c:pt>
                <c:pt idx="6">
                  <c:v>24097.958119999999</c:v>
                </c:pt>
                <c:pt idx="7">
                  <c:v>22661.540419500001</c:v>
                </c:pt>
                <c:pt idx="8">
                  <c:v>36063.303180000003</c:v>
                </c:pt>
                <c:pt idx="9" formatCode="#,##0;\-#,##0;0">
                  <c:v>46067.476569999999</c:v>
                </c:pt>
                <c:pt idx="10" formatCode="#,##0;\-#,##0;0">
                  <c:v>32496.357647500001</c:v>
                </c:pt>
                <c:pt idx="11" formatCode="#,##0;\-#,##0;0">
                  <c:v>28897.58613</c:v>
                </c:pt>
              </c:numCache>
            </c:numRef>
          </c:val>
          <c:smooth val="0"/>
        </c:ser>
        <c:dLbls>
          <c:showLegendKey val="0"/>
          <c:showVal val="0"/>
          <c:showCatName val="0"/>
          <c:showSerName val="0"/>
          <c:showPercent val="0"/>
          <c:showBubbleSize val="0"/>
        </c:dLbls>
        <c:smooth val="0"/>
        <c:axId val="472601096"/>
        <c:axId val="472601488"/>
      </c:lineChart>
      <c:dateAx>
        <c:axId val="472601096"/>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472601488"/>
        <c:crosses val="autoZero"/>
        <c:auto val="1"/>
        <c:lblOffset val="100"/>
        <c:baseTimeUnit val="months"/>
        <c:majorUnit val="1"/>
        <c:majorTimeUnit val="months"/>
        <c:minorUnit val="1"/>
        <c:minorTimeUnit val="months"/>
      </c:dateAx>
      <c:valAx>
        <c:axId val="472601488"/>
        <c:scaling>
          <c:orientation val="minMax"/>
          <c:min val="4000"/>
        </c:scaling>
        <c:delete val="0"/>
        <c:axPos val="l"/>
        <c:numFmt formatCode="[&gt;=10000000]#\,##\,##\,##0;[&gt;=100000]#\,##\,##0;##,##0" sourceLinked="1"/>
        <c:majorTickMark val="none"/>
        <c:minorTickMark val="none"/>
        <c:tickLblPos val="nextTo"/>
        <c:txPr>
          <a:bodyPr/>
          <a:lstStyle/>
          <a:p>
            <a:pPr>
              <a:defRPr lang="en-IN"/>
            </a:pPr>
            <a:endParaRPr lang="en-US"/>
          </a:p>
        </c:txPr>
        <c:crossAx val="472601096"/>
        <c:crosses val="autoZero"/>
        <c:crossBetween val="between"/>
        <c:majorUnit val="5000"/>
      </c:valAx>
    </c:plotArea>
    <c:legend>
      <c:legendPos val="b"/>
      <c:layout>
        <c:manualLayout>
          <c:xMode val="edge"/>
          <c:yMode val="edge"/>
          <c:x val="0.20624194702934862"/>
          <c:y val="0.89766517801467072"/>
          <c:w val="0.60843603580870675"/>
          <c:h val="7.2917890916804493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43374</c:v>
                </c:pt>
                <c:pt idx="1">
                  <c:v>43405</c:v>
                </c:pt>
                <c:pt idx="2">
                  <c:v>43435</c:v>
                </c:pt>
                <c:pt idx="3">
                  <c:v>43466</c:v>
                </c:pt>
                <c:pt idx="4">
                  <c:v>43497</c:v>
                </c:pt>
                <c:pt idx="5">
                  <c:v>43525</c:v>
                </c:pt>
                <c:pt idx="6">
                  <c:v>43556</c:v>
                </c:pt>
                <c:pt idx="7">
                  <c:v>43586</c:v>
                </c:pt>
                <c:pt idx="8">
                  <c:v>43626</c:v>
                </c:pt>
                <c:pt idx="9">
                  <c:v>43656</c:v>
                </c:pt>
                <c:pt idx="10">
                  <c:v>43687</c:v>
                </c:pt>
                <c:pt idx="11">
                  <c:v>43718</c:v>
                </c:pt>
              </c:numCache>
            </c:numRef>
          </c:cat>
          <c:val>
            <c:numRef>
              <c:f>'F11'!$B$3:$B$14</c:f>
              <c:numCache>
                <c:formatCode>_(* #,##0_);_(* \(#,##0\);_(* "-"??_);_(@_)</c:formatCode>
                <c:ptCount val="12"/>
                <c:pt idx="0">
                  <c:v>35876.15</c:v>
                </c:pt>
                <c:pt idx="1">
                  <c:v>40772.97</c:v>
                </c:pt>
                <c:pt idx="2">
                  <c:v>56467.11</c:v>
                </c:pt>
                <c:pt idx="3">
                  <c:v>55223.13</c:v>
                </c:pt>
                <c:pt idx="4">
                  <c:v>40132.83</c:v>
                </c:pt>
                <c:pt idx="5">
                  <c:v>78521.09</c:v>
                </c:pt>
                <c:pt idx="6">
                  <c:v>53755.86</c:v>
                </c:pt>
                <c:pt idx="7">
                  <c:v>65109.31</c:v>
                </c:pt>
                <c:pt idx="8">
                  <c:v>56678.67</c:v>
                </c:pt>
                <c:pt idx="9" formatCode="#,##0;\-#,##0;0">
                  <c:v>65646.47</c:v>
                </c:pt>
                <c:pt idx="10" formatCode="#,##0;\-#,##0;0">
                  <c:v>58482.1</c:v>
                </c:pt>
                <c:pt idx="11" formatCode="#,##0;\-#,##0;0">
                  <c:v>43012.49</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43374</c:v>
                </c:pt>
                <c:pt idx="1">
                  <c:v>43405</c:v>
                </c:pt>
                <c:pt idx="2">
                  <c:v>43435</c:v>
                </c:pt>
                <c:pt idx="3">
                  <c:v>43466</c:v>
                </c:pt>
                <c:pt idx="4">
                  <c:v>43497</c:v>
                </c:pt>
                <c:pt idx="5">
                  <c:v>43525</c:v>
                </c:pt>
                <c:pt idx="6">
                  <c:v>43556</c:v>
                </c:pt>
                <c:pt idx="7">
                  <c:v>43586</c:v>
                </c:pt>
                <c:pt idx="8">
                  <c:v>43626</c:v>
                </c:pt>
                <c:pt idx="9">
                  <c:v>43656</c:v>
                </c:pt>
                <c:pt idx="10">
                  <c:v>43687</c:v>
                </c:pt>
                <c:pt idx="11">
                  <c:v>43718</c:v>
                </c:pt>
              </c:numCache>
            </c:numRef>
          </c:cat>
          <c:val>
            <c:numRef>
              <c:f>'F11'!$C$3:$C$14</c:f>
              <c:numCache>
                <c:formatCode>_(* #,##0_);_(* \(#,##0\);_(* "-"??_);_(@_)</c:formatCode>
                <c:ptCount val="12"/>
                <c:pt idx="0">
                  <c:v>85078.91</c:v>
                </c:pt>
                <c:pt idx="1">
                  <c:v>82928.38</c:v>
                </c:pt>
                <c:pt idx="2">
                  <c:v>123701.67</c:v>
                </c:pt>
                <c:pt idx="3">
                  <c:v>109125.49</c:v>
                </c:pt>
                <c:pt idx="4">
                  <c:v>82490.67</c:v>
                </c:pt>
                <c:pt idx="5">
                  <c:v>175659.22</c:v>
                </c:pt>
                <c:pt idx="6">
                  <c:v>90747.82</c:v>
                </c:pt>
                <c:pt idx="7">
                  <c:v>129917.75</c:v>
                </c:pt>
                <c:pt idx="8">
                  <c:v>114724.86</c:v>
                </c:pt>
                <c:pt idx="9" formatCode="0\,00\,000;\-0\,00\,000;0">
                  <c:v>118101.93</c:v>
                </c:pt>
                <c:pt idx="10" formatCode="0\,00\,000;\-0\,00\,000;0">
                  <c:v>104532</c:v>
                </c:pt>
                <c:pt idx="11" formatCode="#,##0;\-#,##0;0">
                  <c:v>97676.84</c:v>
                </c:pt>
              </c:numCache>
            </c:numRef>
          </c:val>
        </c:ser>
        <c:dLbls>
          <c:showLegendKey val="0"/>
          <c:showVal val="0"/>
          <c:showCatName val="0"/>
          <c:showSerName val="0"/>
          <c:showPercent val="0"/>
          <c:showBubbleSize val="0"/>
        </c:dLbls>
        <c:gapWidth val="150"/>
        <c:axId val="472601880"/>
        <c:axId val="472602272"/>
      </c:barChart>
      <c:dateAx>
        <c:axId val="472601880"/>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72602272"/>
        <c:crosses val="autoZero"/>
        <c:auto val="1"/>
        <c:lblOffset val="100"/>
        <c:baseTimeUnit val="months"/>
      </c:dateAx>
      <c:valAx>
        <c:axId val="472602272"/>
        <c:scaling>
          <c:orientation val="minMax"/>
        </c:scaling>
        <c:delete val="1"/>
        <c:axPos val="l"/>
        <c:numFmt formatCode="_(* #,##0_);_(* \(#,##0\);_(* &quot;-&quot;??_);_(@_)" sourceLinked="1"/>
        <c:majorTickMark val="out"/>
        <c:minorTickMark val="none"/>
        <c:tickLblPos val="none"/>
        <c:crossAx val="472601880"/>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Klassify>
  <SNO>2</SNO>
  <KDate>2019-10-17 16:00:03</KDate>
  <Classification>SEBI-PUBLIC</Classification>
  <HostName>MUM0111515A</HostName>
  <Domain_User>SEBINT/1515</Domain_User>
  <IPAdd>10.21.53.15</IPAdd>
  <FilePath>E:\C Drive Data 19.12.2017\DEPA 2019\10. October 2019\SEBI Bulletin October 2019 Issue.docx</FilePath>
  <KID>7427EA48EFCA637066619672483538</KID>
  <UniqueName/>
  <Suggested/>
  <Justification/>
</Klassify>
</file>

<file path=customXml/item2.xml><?xml version="1.0" encoding="utf-8"?>
<Klassify>
  <SNO>1</SNO>
  <KDate>2019-10-14 14:59:27</KDate>
  <Classification>SEBI-CONFIDENTIAL</Classification>
  <HostName>MUM0111832</HostName>
  <Domain_User>SEBINT/1832</Domain_User>
  <IPAdd>10.21.77.31</IPAdd>
  <FilePath>C:\Users\1832\Documents\Work_HO_DEPA\2019-20\Bulletin\October 2019\SEBI Bulletin October 2019 Issue.docx</FilePath>
  <KID>7427EA48EFCA637066619672483538</KID>
  <UniqueName/>
  <Suggested/>
  <Justification/>
</Klassif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F008C-5608-4977-B1FB-BF780A09BDC2}">
  <ds:schemaRefs/>
</ds:datastoreItem>
</file>

<file path=customXml/itemProps2.xml><?xml version="1.0" encoding="utf-8"?>
<ds:datastoreItem xmlns:ds="http://schemas.openxmlformats.org/officeDocument/2006/customXml" ds:itemID="{AC874CF5-52D4-4685-80EC-6F1B86646A89}">
  <ds:schemaRefs/>
</ds:datastoreItem>
</file>

<file path=customXml/itemProps3.xml><?xml version="1.0" encoding="utf-8"?>
<ds:datastoreItem xmlns:ds="http://schemas.openxmlformats.org/officeDocument/2006/customXml" ds:itemID="{1A0D30C6-8EA1-4265-8B24-0CA807CE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20204</Words>
  <Characters>115169</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Nilima Karandikar</cp:lastModifiedBy>
  <cp:revision>2</cp:revision>
  <cp:lastPrinted>2019-03-19T09:59:00Z</cp:lastPrinted>
  <dcterms:created xsi:type="dcterms:W3CDTF">2019-10-22T06:05:00Z</dcterms:created>
  <dcterms:modified xsi:type="dcterms:W3CDTF">2019-10-22T06:05:00Z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SEBI-PUBLIC</vt:lpwstr>
  </property>
  <property fmtid="{D5CDD505-2E9C-101B-9397-08002B2CF9AE}" pid="3" name="Rules">
    <vt:lpwstr/>
  </property>
  <property fmtid="{D5CDD505-2E9C-101B-9397-08002B2CF9AE}" pid="4" name="KID">
    <vt:lpwstr>7427EA48EFCA637066619672483538</vt:lpwstr>
  </property>
</Properties>
</file>